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黑体" w:cs="Times New Roman"/>
          <w:sz w:val="32"/>
          <w:szCs w:val="24"/>
        </w:rPr>
      </w:pPr>
      <w:r>
        <w:rPr>
          <w:rFonts w:hint="eastAsia" w:ascii="Times New Roman" w:hAnsi="Times New Roman" w:eastAsia="黑体" w:cs="Times New Roman"/>
          <w:sz w:val="32"/>
          <w:szCs w:val="32"/>
        </w:rPr>
        <w:t>附件</w:t>
      </w:r>
      <w:r>
        <w:rPr>
          <w:rFonts w:ascii="Times New Roman" w:hAnsi="Times New Roman" w:eastAsia="黑体" w:cs="Times New Roman"/>
          <w:sz w:val="32"/>
          <w:szCs w:val="32"/>
        </w:rPr>
        <w:t>1</w:t>
      </w:r>
    </w:p>
    <w:p>
      <w:pPr>
        <w:rPr>
          <w:rFonts w:ascii="Times New Roman" w:hAnsi="Times New Roman" w:eastAsia="宋体" w:cs="Times New Roman"/>
          <w:szCs w:val="24"/>
        </w:rPr>
      </w:pPr>
    </w:p>
    <w:p>
      <w:pPr>
        <w:rPr>
          <w:rFonts w:ascii="Times New Roman" w:hAnsi="Times New Roman" w:eastAsia="宋体" w:cs="Times New Roman"/>
          <w:szCs w:val="24"/>
        </w:rPr>
      </w:pPr>
    </w:p>
    <w:p>
      <w:pPr>
        <w:spacing w:before="120" w:after="240" w:line="500" w:lineRule="exact"/>
        <w:jc w:val="center"/>
        <w:rPr>
          <w:rFonts w:ascii="方正小标宋简体" w:hAnsi="Times New Roman" w:eastAsia="方正小标宋简体" w:cs="Times New Roman"/>
          <w:b/>
          <w:bCs/>
          <w:sz w:val="48"/>
          <w:szCs w:val="48"/>
        </w:rPr>
      </w:pPr>
      <w:r>
        <w:rPr>
          <w:rFonts w:hint="eastAsia" w:ascii="方正小标宋简体" w:hAnsi="Times New Roman" w:eastAsia="方正小标宋简体" w:cs="Times New Roman"/>
          <w:b/>
          <w:bCs/>
          <w:sz w:val="48"/>
          <w:szCs w:val="48"/>
        </w:rPr>
        <w:t>江西省研究生工作站报备表</w:t>
      </w:r>
    </w:p>
    <w:p>
      <w:pPr>
        <w:spacing w:before="120" w:after="240" w:line="500" w:lineRule="exact"/>
        <w:jc w:val="center"/>
        <w:rPr>
          <w:rFonts w:ascii="Times New Roman" w:hAnsi="Times New Roman" w:eastAsia="楷体" w:cs="Times New Roman"/>
          <w:b/>
          <w:bCs/>
          <w:sz w:val="44"/>
          <w:szCs w:val="44"/>
        </w:rPr>
      </w:pPr>
      <w:r>
        <w:rPr>
          <w:rFonts w:hint="eastAsia" w:ascii="Times New Roman" w:hAnsi="Times New Roman" w:eastAsia="楷体" w:cs="Times New Roman"/>
          <w:b/>
          <w:bCs/>
          <w:sz w:val="44"/>
          <w:szCs w:val="44"/>
        </w:rPr>
        <w:t>（设站企业填报）</w:t>
      </w:r>
    </w:p>
    <w:p>
      <w:pPr>
        <w:spacing w:before="312" w:beforeLines="100"/>
        <w:jc w:val="center"/>
        <w:rPr>
          <w:rFonts w:ascii="Times New Roman" w:hAnsi="Times New Roman" w:eastAsia="宋体" w:cs="Times New Roman"/>
          <w:b/>
          <w:sz w:val="72"/>
          <w:szCs w:val="72"/>
        </w:rPr>
      </w:pPr>
    </w:p>
    <w:p>
      <w:pPr>
        <w:spacing w:line="700" w:lineRule="exact"/>
        <w:ind w:left="1260" w:leftChars="600"/>
        <w:rPr>
          <w:rFonts w:ascii="Times New Roman" w:hAnsi="Times New Roman" w:eastAsia="仿宋_GB2312" w:cs="Times New Roman"/>
          <w:color w:val="FF0000"/>
          <w:spacing w:val="-14"/>
          <w:sz w:val="32"/>
          <w:szCs w:val="32"/>
          <w:u w:val="single"/>
        </w:rPr>
      </w:pPr>
    </w:p>
    <w:tbl>
      <w:tblPr>
        <w:tblStyle w:val="3"/>
        <w:tblW w:w="0" w:type="auto"/>
        <w:jc w:val="center"/>
        <w:tblLayout w:type="autofit"/>
        <w:tblCellMar>
          <w:top w:w="0" w:type="dxa"/>
          <w:left w:w="108" w:type="dxa"/>
          <w:bottom w:w="0" w:type="dxa"/>
          <w:right w:w="108" w:type="dxa"/>
        </w:tblCellMar>
      </w:tblPr>
      <w:tblGrid>
        <w:gridCol w:w="2977"/>
        <w:gridCol w:w="3969"/>
      </w:tblGrid>
      <w:tr>
        <w:tblPrEx>
          <w:tblCellMar>
            <w:top w:w="0" w:type="dxa"/>
            <w:left w:w="108" w:type="dxa"/>
            <w:bottom w:w="0" w:type="dxa"/>
            <w:right w:w="108" w:type="dxa"/>
          </w:tblCellMar>
        </w:tblPrEx>
        <w:trPr>
          <w:jc w:val="center"/>
        </w:trPr>
        <w:tc>
          <w:tcPr>
            <w:tcW w:w="2977" w:type="dxa"/>
          </w:tcPr>
          <w:p>
            <w:pPr>
              <w:jc w:val="distribute"/>
              <w:rPr>
                <w:rFonts w:ascii="Times New Roman" w:hAnsi="Times New Roman" w:eastAsia="宋体" w:cs="Times New Roman"/>
                <w:color w:val="FF0000"/>
                <w:szCs w:val="24"/>
              </w:rPr>
            </w:pPr>
            <w:r>
              <w:rPr>
                <w:rFonts w:hint="eastAsia" w:ascii="Times New Roman" w:hAnsi="Times New Roman" w:eastAsia="仿宋_GB2312" w:cs="Times New Roman"/>
                <w:sz w:val="32"/>
                <w:szCs w:val="30"/>
              </w:rPr>
              <w:t>设站单位全称</w:t>
            </w:r>
          </w:p>
        </w:tc>
        <w:tc>
          <w:tcPr>
            <w:tcW w:w="3969" w:type="dxa"/>
          </w:tcPr>
          <w:p>
            <w:pPr>
              <w:jc w:val="left"/>
              <w:rPr>
                <w:rFonts w:ascii="Times New Roman" w:hAnsi="Times New Roman" w:eastAsia="仿宋_GB2312" w:cs="Times New Roman"/>
                <w:sz w:val="32"/>
                <w:szCs w:val="30"/>
              </w:rPr>
            </w:pPr>
            <w:r>
              <w:rPr>
                <w:rFonts w:hint="eastAsia" w:ascii="Times New Roman" w:hAnsi="Times New Roman" w:eastAsia="仿宋_GB2312" w:cs="Times New Roman"/>
                <w:sz w:val="32"/>
                <w:szCs w:val="30"/>
              </w:rPr>
              <w:t>：</w:t>
            </w:r>
            <w:r>
              <w:rPr>
                <w:rFonts w:hint="eastAsia" w:ascii="Times New Roman" w:hAnsi="Times New Roman" w:eastAsia="仿宋_GB2312" w:cs="Times New Roman"/>
                <w:spacing w:val="-14"/>
                <w:sz w:val="28"/>
                <w:szCs w:val="28"/>
                <w:u w:val="single"/>
                <w:lang w:eastAsia="zh-CN"/>
              </w:rPr>
              <w:t>江西挺进环保科技股份有限公司</w:t>
            </w:r>
            <w:r>
              <w:rPr>
                <w:rFonts w:ascii="Times New Roman" w:hAnsi="Times New Roman" w:eastAsia="仿宋_GB2312" w:cs="Times New Roman"/>
                <w:spacing w:val="-14"/>
                <w:sz w:val="24"/>
                <w:szCs w:val="24"/>
                <w:u w:val="single"/>
              </w:rPr>
              <w:t xml:space="preserve">  </w:t>
            </w:r>
            <w:r>
              <w:rPr>
                <w:rFonts w:ascii="Times New Roman" w:hAnsi="Times New Roman" w:eastAsia="仿宋_GB2312" w:cs="Times New Roman"/>
                <w:spacing w:val="-14"/>
                <w:sz w:val="32"/>
                <w:szCs w:val="32"/>
                <w:u w:val="single"/>
              </w:rPr>
              <w:t xml:space="preserve">                       </w:t>
            </w:r>
            <w:r>
              <w:rPr>
                <w:rFonts w:ascii="Times New Roman" w:hAnsi="Times New Roman" w:eastAsia="仿宋_GB2312" w:cs="Times New Roman"/>
                <w:sz w:val="32"/>
                <w:szCs w:val="30"/>
              </w:rPr>
              <w:t xml:space="preserve">                        </w:t>
            </w:r>
          </w:p>
        </w:tc>
      </w:tr>
      <w:tr>
        <w:tblPrEx>
          <w:tblCellMar>
            <w:top w:w="0" w:type="dxa"/>
            <w:left w:w="108" w:type="dxa"/>
            <w:bottom w:w="0" w:type="dxa"/>
            <w:right w:w="108" w:type="dxa"/>
          </w:tblCellMar>
        </w:tblPrEx>
        <w:trPr>
          <w:jc w:val="center"/>
        </w:trPr>
        <w:tc>
          <w:tcPr>
            <w:tcW w:w="2977" w:type="dxa"/>
          </w:tcPr>
          <w:p>
            <w:pPr>
              <w:jc w:val="distribute"/>
              <w:rPr>
                <w:rFonts w:ascii="Times New Roman" w:hAnsi="Times New Roman" w:eastAsia="宋体" w:cs="Times New Roman"/>
                <w:color w:val="FF0000"/>
                <w:szCs w:val="24"/>
              </w:rPr>
            </w:pPr>
            <w:r>
              <w:rPr>
                <w:rFonts w:hint="eastAsia" w:ascii="Times New Roman" w:hAnsi="Times New Roman" w:eastAsia="仿宋_GB2312" w:cs="Times New Roman"/>
                <w:sz w:val="32"/>
                <w:szCs w:val="30"/>
              </w:rPr>
              <w:t>单位组织机构代码</w:t>
            </w:r>
          </w:p>
        </w:tc>
        <w:tc>
          <w:tcPr>
            <w:tcW w:w="3969" w:type="dxa"/>
          </w:tcPr>
          <w:p>
            <w:pPr>
              <w:jc w:val="left"/>
              <w:rPr>
                <w:rFonts w:ascii="Times New Roman" w:hAnsi="Times New Roman" w:eastAsia="宋体" w:cs="Times New Roman"/>
                <w:color w:val="FF0000"/>
                <w:szCs w:val="24"/>
              </w:rPr>
            </w:pPr>
            <w:r>
              <w:rPr>
                <w:rFonts w:hint="eastAsia" w:ascii="Times New Roman" w:hAnsi="Times New Roman" w:eastAsia="仿宋_GB2312" w:cs="Times New Roman"/>
                <w:sz w:val="32"/>
                <w:szCs w:val="30"/>
              </w:rPr>
              <w:t>：</w:t>
            </w:r>
            <w:r>
              <w:rPr>
                <w:rFonts w:ascii="Times New Roman" w:hAnsi="Times New Roman" w:eastAsia="仿宋_GB2312" w:cs="Times New Roman"/>
                <w:spacing w:val="-14"/>
                <w:sz w:val="32"/>
                <w:szCs w:val="32"/>
                <w:u w:val="single"/>
              </w:rPr>
              <w:t xml:space="preserve">    </w:t>
            </w:r>
            <w:r>
              <w:rPr>
                <w:rFonts w:hint="eastAsia" w:ascii="Times New Roman" w:hAnsi="Times New Roman" w:eastAsia="仿宋_GB2312" w:cs="Times New Roman"/>
                <w:spacing w:val="-14"/>
                <w:sz w:val="32"/>
                <w:szCs w:val="32"/>
                <w:u w:val="single"/>
                <w:lang w:val="en-US" w:eastAsia="zh-CN"/>
              </w:rPr>
              <w:t>91361100322539762X</w:t>
            </w:r>
            <w:r>
              <w:rPr>
                <w:rFonts w:ascii="Times New Roman" w:hAnsi="Times New Roman" w:eastAsia="仿宋_GB2312" w:cs="Times New Roman"/>
                <w:spacing w:val="-14"/>
                <w:sz w:val="32"/>
                <w:szCs w:val="32"/>
                <w:u w:val="single"/>
              </w:rPr>
              <w:t xml:space="preserve">                      </w:t>
            </w:r>
          </w:p>
        </w:tc>
      </w:tr>
      <w:tr>
        <w:tblPrEx>
          <w:tblCellMar>
            <w:top w:w="0" w:type="dxa"/>
            <w:left w:w="108" w:type="dxa"/>
            <w:bottom w:w="0" w:type="dxa"/>
            <w:right w:w="108" w:type="dxa"/>
          </w:tblCellMar>
        </w:tblPrEx>
        <w:trPr>
          <w:jc w:val="center"/>
        </w:trPr>
        <w:tc>
          <w:tcPr>
            <w:tcW w:w="2977" w:type="dxa"/>
          </w:tcPr>
          <w:p>
            <w:pPr>
              <w:jc w:val="distribute"/>
              <w:rPr>
                <w:rFonts w:ascii="Times New Roman" w:hAnsi="Times New Roman" w:eastAsia="宋体" w:cs="Times New Roman"/>
                <w:szCs w:val="24"/>
              </w:rPr>
            </w:pPr>
            <w:r>
              <w:rPr>
                <w:rFonts w:hint="eastAsia" w:ascii="Times New Roman" w:hAnsi="Times New Roman" w:eastAsia="仿宋_GB2312" w:cs="Times New Roman"/>
                <w:spacing w:val="46"/>
                <w:sz w:val="32"/>
                <w:szCs w:val="30"/>
              </w:rPr>
              <w:t>单位所属行业</w:t>
            </w:r>
          </w:p>
        </w:tc>
        <w:tc>
          <w:tcPr>
            <w:tcW w:w="3969" w:type="dxa"/>
          </w:tcPr>
          <w:p>
            <w:pPr>
              <w:jc w:val="left"/>
              <w:rPr>
                <w:rFonts w:ascii="Times New Roman" w:hAnsi="Times New Roman" w:eastAsia="宋体" w:cs="Times New Roman"/>
                <w:szCs w:val="24"/>
              </w:rPr>
            </w:pPr>
            <w:r>
              <w:rPr>
                <w:rFonts w:hint="eastAsia" w:ascii="Times New Roman" w:hAnsi="Times New Roman" w:eastAsia="仿宋_GB2312" w:cs="Times New Roman"/>
                <w:sz w:val="32"/>
                <w:szCs w:val="30"/>
              </w:rPr>
              <w:t>：</w:t>
            </w:r>
            <w:r>
              <w:rPr>
                <w:rFonts w:ascii="Times New Roman" w:hAnsi="Times New Roman" w:eastAsia="仿宋_GB2312" w:cs="Times New Roman"/>
                <w:spacing w:val="-14"/>
                <w:sz w:val="32"/>
                <w:szCs w:val="32"/>
                <w:u w:val="single"/>
              </w:rPr>
              <w:t xml:space="preserve">        </w:t>
            </w:r>
            <w:r>
              <w:rPr>
                <w:rFonts w:hint="eastAsia" w:ascii="Times New Roman" w:hAnsi="Times New Roman" w:eastAsia="仿宋_GB2312" w:cs="Times New Roman"/>
                <w:spacing w:val="-14"/>
                <w:sz w:val="32"/>
                <w:szCs w:val="32"/>
                <w:u w:val="single"/>
                <w:lang w:eastAsia="zh-CN"/>
              </w:rPr>
              <w:t>环保</w:t>
            </w:r>
            <w:r>
              <w:rPr>
                <w:rFonts w:ascii="Times New Roman" w:hAnsi="Times New Roman" w:eastAsia="仿宋_GB2312" w:cs="Times New Roman"/>
                <w:spacing w:val="-14"/>
                <w:sz w:val="32"/>
                <w:szCs w:val="32"/>
                <w:u w:val="single"/>
              </w:rPr>
              <w:t xml:space="preserve">                  </w:t>
            </w:r>
          </w:p>
        </w:tc>
      </w:tr>
      <w:tr>
        <w:tblPrEx>
          <w:tblCellMar>
            <w:top w:w="0" w:type="dxa"/>
            <w:left w:w="108" w:type="dxa"/>
            <w:bottom w:w="0" w:type="dxa"/>
            <w:right w:w="108" w:type="dxa"/>
          </w:tblCellMar>
        </w:tblPrEx>
        <w:trPr>
          <w:jc w:val="center"/>
        </w:trPr>
        <w:tc>
          <w:tcPr>
            <w:tcW w:w="2977" w:type="dxa"/>
          </w:tcPr>
          <w:p>
            <w:pPr>
              <w:jc w:val="distribute"/>
              <w:rPr>
                <w:rFonts w:ascii="Times New Roman" w:hAnsi="Times New Roman" w:eastAsia="宋体" w:cs="Times New Roman"/>
                <w:szCs w:val="24"/>
              </w:rPr>
            </w:pPr>
            <w:r>
              <w:rPr>
                <w:rFonts w:hint="eastAsia" w:ascii="Times New Roman" w:hAnsi="Times New Roman" w:eastAsia="仿宋_GB2312" w:cs="Times New Roman"/>
                <w:sz w:val="32"/>
                <w:szCs w:val="30"/>
              </w:rPr>
              <w:t>单</w:t>
            </w:r>
            <w:r>
              <w:rPr>
                <w:rFonts w:ascii="Times New Roman" w:hAnsi="Times New Roman" w:eastAsia="仿宋_GB2312" w:cs="Times New Roman"/>
                <w:sz w:val="32"/>
                <w:szCs w:val="30"/>
              </w:rPr>
              <w:t xml:space="preserve"> </w:t>
            </w:r>
            <w:r>
              <w:rPr>
                <w:rFonts w:hint="eastAsia" w:ascii="Times New Roman" w:hAnsi="Times New Roman" w:eastAsia="仿宋_GB2312" w:cs="Times New Roman"/>
                <w:sz w:val="32"/>
                <w:szCs w:val="30"/>
              </w:rPr>
              <w:t>位</w:t>
            </w:r>
            <w:r>
              <w:rPr>
                <w:rFonts w:ascii="Times New Roman" w:hAnsi="Times New Roman" w:eastAsia="仿宋_GB2312" w:cs="Times New Roman"/>
                <w:sz w:val="32"/>
                <w:szCs w:val="30"/>
              </w:rPr>
              <w:t xml:space="preserve"> </w:t>
            </w:r>
            <w:r>
              <w:rPr>
                <w:rFonts w:hint="eastAsia" w:ascii="Times New Roman" w:hAnsi="Times New Roman" w:eastAsia="仿宋_GB2312" w:cs="Times New Roman"/>
                <w:sz w:val="32"/>
                <w:szCs w:val="30"/>
              </w:rPr>
              <w:t>地</w:t>
            </w:r>
            <w:r>
              <w:rPr>
                <w:rFonts w:ascii="Times New Roman" w:hAnsi="Times New Roman" w:eastAsia="仿宋_GB2312" w:cs="Times New Roman"/>
                <w:sz w:val="32"/>
                <w:szCs w:val="30"/>
              </w:rPr>
              <w:t xml:space="preserve"> </w:t>
            </w:r>
            <w:r>
              <w:rPr>
                <w:rFonts w:hint="eastAsia" w:ascii="Times New Roman" w:hAnsi="Times New Roman" w:eastAsia="仿宋_GB2312" w:cs="Times New Roman"/>
                <w:sz w:val="32"/>
                <w:szCs w:val="30"/>
              </w:rPr>
              <w:t>址</w:t>
            </w:r>
          </w:p>
        </w:tc>
        <w:tc>
          <w:tcPr>
            <w:tcW w:w="3969" w:type="dxa"/>
          </w:tcPr>
          <w:p>
            <w:pPr>
              <w:jc w:val="left"/>
              <w:rPr>
                <w:rFonts w:ascii="Times New Roman" w:hAnsi="Times New Roman" w:eastAsia="宋体" w:cs="Times New Roman"/>
                <w:szCs w:val="24"/>
              </w:rPr>
            </w:pPr>
            <w:r>
              <w:rPr>
                <w:rFonts w:hint="eastAsia" w:ascii="Times New Roman" w:hAnsi="Times New Roman" w:eastAsia="仿宋_GB2312" w:cs="Times New Roman"/>
                <w:sz w:val="32"/>
                <w:szCs w:val="30"/>
              </w:rPr>
              <w:t>：</w:t>
            </w:r>
            <w:r>
              <w:rPr>
                <w:rFonts w:ascii="Times New Roman" w:hAnsi="Times New Roman" w:eastAsia="仿宋_GB2312" w:cs="Times New Roman"/>
                <w:spacing w:val="-14"/>
                <w:sz w:val="32"/>
                <w:szCs w:val="32"/>
                <w:u w:val="single"/>
              </w:rPr>
              <w:t xml:space="preserve"> </w:t>
            </w:r>
            <w:r>
              <w:rPr>
                <w:rFonts w:hint="eastAsia" w:ascii="Times New Roman" w:hAnsi="Times New Roman" w:eastAsia="仿宋_GB2312" w:cs="Times New Roman"/>
                <w:spacing w:val="-14"/>
                <w:sz w:val="32"/>
                <w:szCs w:val="32"/>
                <w:u w:val="single"/>
                <w:lang w:eastAsia="zh-CN"/>
              </w:rPr>
              <w:t>江西省赣州市章贡区长征大道</w:t>
            </w:r>
            <w:r>
              <w:rPr>
                <w:rFonts w:hint="eastAsia" w:ascii="Times New Roman" w:hAnsi="Times New Roman" w:eastAsia="仿宋_GB2312" w:cs="Times New Roman"/>
                <w:spacing w:val="-14"/>
                <w:sz w:val="32"/>
                <w:szCs w:val="32"/>
                <w:u w:val="single"/>
                <w:lang w:val="en-US" w:eastAsia="zh-CN"/>
              </w:rPr>
              <w:t>31号商会大厦903</w:t>
            </w:r>
            <w:r>
              <w:rPr>
                <w:rFonts w:ascii="Times New Roman" w:hAnsi="Times New Roman" w:eastAsia="仿宋_GB2312" w:cs="Times New Roman"/>
                <w:spacing w:val="-14"/>
                <w:sz w:val="32"/>
                <w:szCs w:val="32"/>
                <w:u w:val="single"/>
              </w:rPr>
              <w:t xml:space="preserve">                         </w:t>
            </w:r>
          </w:p>
        </w:tc>
      </w:tr>
      <w:tr>
        <w:tblPrEx>
          <w:tblCellMar>
            <w:top w:w="0" w:type="dxa"/>
            <w:left w:w="108" w:type="dxa"/>
            <w:bottom w:w="0" w:type="dxa"/>
            <w:right w:w="108" w:type="dxa"/>
          </w:tblCellMar>
        </w:tblPrEx>
        <w:trPr>
          <w:jc w:val="center"/>
        </w:trPr>
        <w:tc>
          <w:tcPr>
            <w:tcW w:w="2977" w:type="dxa"/>
          </w:tcPr>
          <w:p>
            <w:pPr>
              <w:jc w:val="distribute"/>
              <w:rPr>
                <w:rFonts w:ascii="Times New Roman" w:hAnsi="Times New Roman" w:eastAsia="宋体" w:cs="Times New Roman"/>
                <w:szCs w:val="24"/>
              </w:rPr>
            </w:pPr>
            <w:r>
              <w:rPr>
                <w:rFonts w:hint="eastAsia" w:ascii="Times New Roman" w:hAnsi="Times New Roman" w:eastAsia="仿宋_GB2312" w:cs="Times New Roman"/>
                <w:sz w:val="32"/>
                <w:szCs w:val="30"/>
              </w:rPr>
              <w:t>单位联系人</w:t>
            </w:r>
          </w:p>
        </w:tc>
        <w:tc>
          <w:tcPr>
            <w:tcW w:w="3969" w:type="dxa"/>
          </w:tcPr>
          <w:p>
            <w:pPr>
              <w:jc w:val="left"/>
              <w:rPr>
                <w:rFonts w:ascii="Times New Roman" w:hAnsi="Times New Roman" w:eastAsia="宋体" w:cs="Times New Roman"/>
                <w:szCs w:val="24"/>
              </w:rPr>
            </w:pPr>
            <w:r>
              <w:rPr>
                <w:rFonts w:hint="eastAsia" w:ascii="Times New Roman" w:hAnsi="Times New Roman" w:eastAsia="仿宋_GB2312" w:cs="Times New Roman"/>
                <w:sz w:val="32"/>
                <w:szCs w:val="30"/>
              </w:rPr>
              <w:t>：</w:t>
            </w:r>
            <w:r>
              <w:rPr>
                <w:rFonts w:ascii="Times New Roman" w:hAnsi="Times New Roman" w:eastAsia="仿宋_GB2312" w:cs="Times New Roman"/>
                <w:spacing w:val="-14"/>
                <w:sz w:val="32"/>
                <w:szCs w:val="32"/>
                <w:u w:val="single"/>
              </w:rPr>
              <w:t xml:space="preserve">        </w:t>
            </w:r>
            <w:r>
              <w:rPr>
                <w:rFonts w:hint="eastAsia" w:ascii="Times New Roman" w:hAnsi="Times New Roman" w:eastAsia="仿宋_GB2312" w:cs="Times New Roman"/>
                <w:spacing w:val="-14"/>
                <w:sz w:val="32"/>
                <w:szCs w:val="32"/>
                <w:u w:val="single"/>
                <w:lang w:eastAsia="zh-CN"/>
              </w:rPr>
              <w:t>陈后兴</w:t>
            </w:r>
            <w:r>
              <w:rPr>
                <w:rFonts w:ascii="Times New Roman" w:hAnsi="Times New Roman" w:eastAsia="仿宋_GB2312" w:cs="Times New Roman"/>
                <w:spacing w:val="-14"/>
                <w:sz w:val="32"/>
                <w:szCs w:val="32"/>
                <w:u w:val="single"/>
              </w:rPr>
              <w:t xml:space="preserve">                  </w:t>
            </w:r>
          </w:p>
        </w:tc>
      </w:tr>
      <w:tr>
        <w:tblPrEx>
          <w:tblCellMar>
            <w:top w:w="0" w:type="dxa"/>
            <w:left w:w="108" w:type="dxa"/>
            <w:bottom w:w="0" w:type="dxa"/>
            <w:right w:w="108" w:type="dxa"/>
          </w:tblCellMar>
        </w:tblPrEx>
        <w:trPr>
          <w:jc w:val="center"/>
        </w:trPr>
        <w:tc>
          <w:tcPr>
            <w:tcW w:w="2977" w:type="dxa"/>
          </w:tcPr>
          <w:p>
            <w:pPr>
              <w:jc w:val="distribute"/>
              <w:rPr>
                <w:rFonts w:ascii="Times New Roman" w:hAnsi="Times New Roman" w:eastAsia="宋体" w:cs="Times New Roman"/>
                <w:szCs w:val="24"/>
              </w:rPr>
            </w:pPr>
            <w:r>
              <w:rPr>
                <w:rFonts w:hint="eastAsia" w:ascii="Times New Roman" w:hAnsi="Times New Roman" w:eastAsia="仿宋_GB2312" w:cs="Times New Roman"/>
                <w:sz w:val="32"/>
                <w:szCs w:val="30"/>
              </w:rPr>
              <w:t>联系电话</w:t>
            </w:r>
          </w:p>
        </w:tc>
        <w:tc>
          <w:tcPr>
            <w:tcW w:w="3969" w:type="dxa"/>
          </w:tcPr>
          <w:p>
            <w:pPr>
              <w:jc w:val="left"/>
              <w:rPr>
                <w:rFonts w:hint="default" w:ascii="Times New Roman" w:hAnsi="Times New Roman" w:eastAsia="仿宋_GB2312" w:cs="Times New Roman"/>
                <w:szCs w:val="24"/>
                <w:lang w:val="en-US" w:eastAsia="zh-CN"/>
              </w:rPr>
            </w:pPr>
            <w:r>
              <w:rPr>
                <w:rFonts w:hint="eastAsia" w:ascii="Times New Roman" w:hAnsi="Times New Roman" w:eastAsia="仿宋_GB2312" w:cs="Times New Roman"/>
                <w:sz w:val="32"/>
                <w:szCs w:val="30"/>
              </w:rPr>
              <w:t>：</w:t>
            </w:r>
            <w:r>
              <w:rPr>
                <w:rFonts w:ascii="Times New Roman" w:hAnsi="Times New Roman" w:eastAsia="仿宋_GB2312" w:cs="Times New Roman"/>
                <w:spacing w:val="-14"/>
                <w:sz w:val="32"/>
                <w:szCs w:val="32"/>
                <w:u w:val="single"/>
              </w:rPr>
              <w:t xml:space="preserve">    </w:t>
            </w:r>
            <w:r>
              <w:rPr>
                <w:rFonts w:hint="eastAsia" w:ascii="Times New Roman" w:hAnsi="Times New Roman" w:eastAsia="仿宋_GB2312" w:cs="Times New Roman"/>
                <w:spacing w:val="-14"/>
                <w:sz w:val="32"/>
                <w:szCs w:val="32"/>
                <w:u w:val="single"/>
              </w:rPr>
              <w:t>15907070252</w:t>
            </w:r>
            <w:r>
              <w:rPr>
                <w:rFonts w:ascii="Times New Roman" w:hAnsi="Times New Roman" w:eastAsia="仿宋_GB2312" w:cs="Times New Roman"/>
                <w:spacing w:val="-14"/>
                <w:sz w:val="32"/>
                <w:szCs w:val="32"/>
                <w:u w:val="single"/>
              </w:rPr>
              <w:t xml:space="preserve">      </w:t>
            </w:r>
            <w:r>
              <w:rPr>
                <w:rFonts w:hint="eastAsia" w:ascii="Times New Roman" w:hAnsi="Times New Roman" w:eastAsia="仿宋_GB2312" w:cs="Times New Roman"/>
                <w:spacing w:val="-14"/>
                <w:sz w:val="32"/>
                <w:szCs w:val="32"/>
                <w:u w:val="single"/>
                <w:lang w:val="en-US" w:eastAsia="zh-CN"/>
              </w:rPr>
              <w:t xml:space="preserve">  </w:t>
            </w:r>
          </w:p>
        </w:tc>
      </w:tr>
      <w:tr>
        <w:tblPrEx>
          <w:tblCellMar>
            <w:top w:w="0" w:type="dxa"/>
            <w:left w:w="108" w:type="dxa"/>
            <w:bottom w:w="0" w:type="dxa"/>
            <w:right w:w="108" w:type="dxa"/>
          </w:tblCellMar>
        </w:tblPrEx>
        <w:trPr>
          <w:jc w:val="center"/>
        </w:trPr>
        <w:tc>
          <w:tcPr>
            <w:tcW w:w="2977" w:type="dxa"/>
          </w:tcPr>
          <w:p>
            <w:pPr>
              <w:jc w:val="distribute"/>
              <w:rPr>
                <w:rFonts w:ascii="Times New Roman" w:hAnsi="Times New Roman" w:eastAsia="仿宋_GB2312" w:cs="Times New Roman"/>
                <w:sz w:val="32"/>
                <w:szCs w:val="30"/>
              </w:rPr>
            </w:pPr>
            <w:r>
              <w:rPr>
                <w:rFonts w:hint="eastAsia" w:ascii="Times New Roman" w:hAnsi="Times New Roman" w:eastAsia="仿宋_GB2312" w:cs="Times New Roman"/>
                <w:sz w:val="32"/>
                <w:szCs w:val="30"/>
              </w:rPr>
              <w:t>电子信箱</w:t>
            </w:r>
          </w:p>
        </w:tc>
        <w:tc>
          <w:tcPr>
            <w:tcW w:w="3969" w:type="dxa"/>
          </w:tcPr>
          <w:p>
            <w:pPr>
              <w:jc w:val="left"/>
              <w:rPr>
                <w:rFonts w:hint="eastAsia" w:ascii="Times New Roman" w:hAnsi="Times New Roman" w:eastAsia="仿宋_GB2312" w:cs="Times New Roman"/>
                <w:szCs w:val="24"/>
                <w:lang w:val="en-US" w:eastAsia="zh-CN"/>
              </w:rPr>
            </w:pPr>
            <w:r>
              <w:rPr>
                <w:rFonts w:hint="eastAsia" w:ascii="Times New Roman" w:hAnsi="Times New Roman" w:eastAsia="仿宋_GB2312" w:cs="Times New Roman"/>
                <w:sz w:val="32"/>
                <w:szCs w:val="30"/>
              </w:rPr>
              <w:t>：</w:t>
            </w:r>
            <w:r>
              <w:rPr>
                <w:rFonts w:ascii="Times New Roman" w:hAnsi="Times New Roman" w:eastAsia="仿宋_GB2312" w:cs="Times New Roman"/>
                <w:spacing w:val="-14"/>
                <w:sz w:val="32"/>
                <w:szCs w:val="32"/>
                <w:u w:val="single"/>
              </w:rPr>
              <w:t xml:space="preserve">  </w:t>
            </w:r>
            <w:r>
              <w:rPr>
                <w:rFonts w:hint="eastAsia" w:ascii="Times New Roman" w:hAnsi="Times New Roman" w:eastAsia="仿宋_GB2312" w:cs="Times New Roman"/>
                <w:spacing w:val="-14"/>
                <w:sz w:val="32"/>
                <w:szCs w:val="32"/>
                <w:u w:val="single"/>
              </w:rPr>
              <w:t>410716226@qq.com</w:t>
            </w:r>
            <w:r>
              <w:rPr>
                <w:rFonts w:ascii="Times New Roman" w:hAnsi="Times New Roman" w:eastAsia="仿宋_GB2312" w:cs="Times New Roman"/>
                <w:spacing w:val="-14"/>
                <w:sz w:val="32"/>
                <w:szCs w:val="32"/>
                <w:u w:val="single"/>
              </w:rPr>
              <w:t xml:space="preserve">   </w:t>
            </w:r>
            <w:r>
              <w:rPr>
                <w:rFonts w:hint="eastAsia" w:ascii="Times New Roman" w:hAnsi="Times New Roman" w:eastAsia="仿宋_GB2312" w:cs="Times New Roman"/>
                <w:spacing w:val="-14"/>
                <w:sz w:val="32"/>
                <w:szCs w:val="32"/>
                <w:u w:val="single"/>
                <w:lang w:val="en-US" w:eastAsia="zh-CN"/>
              </w:rPr>
              <w:t xml:space="preserve"> </w:t>
            </w:r>
          </w:p>
        </w:tc>
      </w:tr>
      <w:tr>
        <w:tblPrEx>
          <w:tblCellMar>
            <w:top w:w="0" w:type="dxa"/>
            <w:left w:w="108" w:type="dxa"/>
            <w:bottom w:w="0" w:type="dxa"/>
            <w:right w:w="108" w:type="dxa"/>
          </w:tblCellMar>
        </w:tblPrEx>
        <w:trPr>
          <w:jc w:val="center"/>
        </w:trPr>
        <w:tc>
          <w:tcPr>
            <w:tcW w:w="2977" w:type="dxa"/>
          </w:tcPr>
          <w:p>
            <w:pPr>
              <w:jc w:val="distribute"/>
              <w:rPr>
                <w:rFonts w:ascii="Times New Roman" w:hAnsi="Times New Roman" w:eastAsia="仿宋_GB2312" w:cs="Times New Roman"/>
                <w:sz w:val="32"/>
                <w:szCs w:val="30"/>
              </w:rPr>
            </w:pPr>
            <w:r>
              <w:rPr>
                <w:rFonts w:hint="eastAsia" w:ascii="Times New Roman" w:hAnsi="Times New Roman" w:eastAsia="仿宋_GB2312" w:cs="Times New Roman"/>
                <w:sz w:val="32"/>
                <w:szCs w:val="30"/>
              </w:rPr>
              <w:t>合作高校名称</w:t>
            </w:r>
          </w:p>
        </w:tc>
        <w:tc>
          <w:tcPr>
            <w:tcW w:w="3969" w:type="dxa"/>
          </w:tcPr>
          <w:p>
            <w:pPr>
              <w:jc w:val="left"/>
              <w:rPr>
                <w:rFonts w:ascii="Times New Roman" w:hAnsi="Times New Roman" w:eastAsia="宋体" w:cs="Times New Roman"/>
                <w:szCs w:val="24"/>
              </w:rPr>
            </w:pPr>
            <w:r>
              <w:rPr>
                <w:rFonts w:hint="eastAsia" w:ascii="Times New Roman" w:hAnsi="Times New Roman" w:eastAsia="仿宋_GB2312" w:cs="Times New Roman"/>
                <w:sz w:val="32"/>
                <w:szCs w:val="30"/>
              </w:rPr>
              <w:t>：</w:t>
            </w:r>
            <w:r>
              <w:rPr>
                <w:rFonts w:ascii="Times New Roman" w:hAnsi="Times New Roman" w:eastAsia="仿宋_GB2312" w:cs="Times New Roman"/>
                <w:spacing w:val="-14"/>
                <w:sz w:val="32"/>
                <w:szCs w:val="32"/>
                <w:u w:val="single"/>
              </w:rPr>
              <w:t xml:space="preserve">    </w:t>
            </w:r>
            <w:r>
              <w:rPr>
                <w:rFonts w:hint="eastAsia" w:ascii="Times New Roman" w:hAnsi="Times New Roman" w:eastAsia="仿宋_GB2312" w:cs="Times New Roman"/>
                <w:spacing w:val="-14"/>
                <w:sz w:val="32"/>
                <w:szCs w:val="32"/>
                <w:u w:val="single"/>
                <w:lang w:eastAsia="zh-CN"/>
              </w:rPr>
              <w:t>南昌航空大学</w:t>
            </w:r>
            <w:r>
              <w:rPr>
                <w:rFonts w:ascii="Times New Roman" w:hAnsi="Times New Roman" w:eastAsia="仿宋_GB2312" w:cs="Times New Roman"/>
                <w:spacing w:val="-14"/>
                <w:sz w:val="32"/>
                <w:szCs w:val="32"/>
                <w:u w:val="single"/>
              </w:rPr>
              <w:t xml:space="preserve">                      </w:t>
            </w:r>
          </w:p>
        </w:tc>
      </w:tr>
    </w:tbl>
    <w:p>
      <w:pPr>
        <w:spacing w:before="312" w:beforeLines="100"/>
        <w:jc w:val="center"/>
        <w:rPr>
          <w:rFonts w:ascii="Times New Roman" w:hAnsi="Times New Roman" w:eastAsia="宋体" w:cs="Times New Roman"/>
          <w:color w:val="FF0000"/>
          <w:szCs w:val="24"/>
        </w:rPr>
      </w:pPr>
    </w:p>
    <w:p>
      <w:pPr>
        <w:spacing w:before="312" w:beforeLines="100"/>
        <w:jc w:val="center"/>
        <w:rPr>
          <w:rFonts w:ascii="Times New Roman" w:hAnsi="Times New Roman" w:eastAsia="宋体" w:cs="Times New Roman"/>
          <w:szCs w:val="24"/>
        </w:rPr>
      </w:pPr>
    </w:p>
    <w:tbl>
      <w:tblPr>
        <w:tblStyle w:val="3"/>
        <w:tblW w:w="0" w:type="auto"/>
        <w:jc w:val="center"/>
        <w:tblLayout w:type="fixed"/>
        <w:tblCellMar>
          <w:top w:w="0" w:type="dxa"/>
          <w:left w:w="108" w:type="dxa"/>
          <w:bottom w:w="0" w:type="dxa"/>
          <w:right w:w="108" w:type="dxa"/>
        </w:tblCellMar>
      </w:tblPr>
      <w:tblGrid>
        <w:gridCol w:w="4140"/>
        <w:gridCol w:w="1260"/>
      </w:tblGrid>
      <w:tr>
        <w:tblPrEx>
          <w:tblCellMar>
            <w:top w:w="0" w:type="dxa"/>
            <w:left w:w="108" w:type="dxa"/>
            <w:bottom w:w="0" w:type="dxa"/>
            <w:right w:w="108" w:type="dxa"/>
          </w:tblCellMar>
        </w:tblPrEx>
        <w:trPr>
          <w:jc w:val="center"/>
        </w:trPr>
        <w:tc>
          <w:tcPr>
            <w:tcW w:w="4140" w:type="dxa"/>
          </w:tcPr>
          <w:p>
            <w:pPr>
              <w:adjustRightInd w:val="0"/>
              <w:snapToGrid w:val="0"/>
              <w:spacing w:line="480" w:lineRule="exact"/>
              <w:jc w:val="distribute"/>
              <w:rPr>
                <w:rFonts w:ascii="Times New Roman" w:hAnsi="Times New Roman" w:eastAsia="宋体" w:cs="Times New Roman"/>
                <w:sz w:val="30"/>
                <w:szCs w:val="30"/>
              </w:rPr>
            </w:pPr>
            <w:r>
              <w:rPr>
                <w:rFonts w:hint="eastAsia" w:ascii="Times New Roman" w:hAnsi="Times New Roman" w:eastAsia="宋体" w:cs="Times New Roman"/>
                <w:sz w:val="30"/>
                <w:szCs w:val="30"/>
              </w:rPr>
              <w:t>江西省教育厅</w:t>
            </w:r>
          </w:p>
        </w:tc>
        <w:tc>
          <w:tcPr>
            <w:tcW w:w="1260" w:type="dxa"/>
            <w:vMerge w:val="restart"/>
            <w:vAlign w:val="center"/>
          </w:tcPr>
          <w:p>
            <w:pPr>
              <w:adjustRightInd w:val="0"/>
              <w:snapToGrid w:val="0"/>
              <w:spacing w:line="480" w:lineRule="exact"/>
              <w:rPr>
                <w:rFonts w:ascii="Times New Roman" w:hAnsi="Times New Roman" w:eastAsia="宋体" w:cs="Times New Roman"/>
                <w:sz w:val="30"/>
                <w:szCs w:val="30"/>
              </w:rPr>
            </w:pPr>
            <w:r>
              <w:rPr>
                <w:rFonts w:hint="eastAsia" w:ascii="Times New Roman" w:hAnsi="Times New Roman" w:eastAsia="宋体" w:cs="Times New Roman"/>
                <w:sz w:val="30"/>
                <w:szCs w:val="30"/>
              </w:rPr>
              <w:t>制表</w:t>
            </w:r>
          </w:p>
        </w:tc>
      </w:tr>
      <w:tr>
        <w:tblPrEx>
          <w:tblCellMar>
            <w:top w:w="0" w:type="dxa"/>
            <w:left w:w="108" w:type="dxa"/>
            <w:bottom w:w="0" w:type="dxa"/>
            <w:right w:w="108" w:type="dxa"/>
          </w:tblCellMar>
        </w:tblPrEx>
        <w:trPr>
          <w:jc w:val="center"/>
        </w:trPr>
        <w:tc>
          <w:tcPr>
            <w:tcW w:w="4140" w:type="dxa"/>
          </w:tcPr>
          <w:p>
            <w:pPr>
              <w:adjustRightInd w:val="0"/>
              <w:snapToGrid w:val="0"/>
              <w:spacing w:line="480" w:lineRule="exact"/>
              <w:jc w:val="distribute"/>
              <w:rPr>
                <w:rFonts w:ascii="Times New Roman" w:hAnsi="Times New Roman" w:eastAsia="宋体" w:cs="Times New Roman"/>
                <w:sz w:val="30"/>
                <w:szCs w:val="30"/>
              </w:rPr>
            </w:pPr>
            <w:r>
              <w:rPr>
                <w:rFonts w:hint="eastAsia" w:ascii="Times New Roman" w:hAnsi="Times New Roman" w:eastAsia="宋体" w:cs="Times New Roman"/>
                <w:sz w:val="30"/>
                <w:szCs w:val="30"/>
              </w:rPr>
              <w:t>江西省科学技术厅</w:t>
            </w:r>
          </w:p>
          <w:p>
            <w:pPr>
              <w:adjustRightInd w:val="0"/>
              <w:snapToGrid w:val="0"/>
              <w:spacing w:line="480" w:lineRule="exact"/>
              <w:jc w:val="distribute"/>
              <w:rPr>
                <w:rFonts w:ascii="Times New Roman" w:hAnsi="Times New Roman" w:eastAsia="宋体" w:cs="Times New Roman"/>
                <w:sz w:val="30"/>
                <w:szCs w:val="30"/>
              </w:rPr>
            </w:pPr>
            <w:r>
              <w:rPr>
                <w:rFonts w:hint="eastAsia" w:ascii="Times New Roman" w:hAnsi="Times New Roman" w:eastAsia="宋体" w:cs="Times New Roman"/>
                <w:sz w:val="30"/>
                <w:szCs w:val="30"/>
              </w:rPr>
              <w:t>江西省工业和信息化厅</w:t>
            </w:r>
          </w:p>
        </w:tc>
        <w:tc>
          <w:tcPr>
            <w:tcW w:w="1260" w:type="dxa"/>
            <w:vMerge w:val="continue"/>
            <w:vAlign w:val="center"/>
          </w:tcPr>
          <w:p>
            <w:pPr>
              <w:widowControl/>
              <w:jc w:val="left"/>
              <w:rPr>
                <w:rFonts w:ascii="Times New Roman" w:hAnsi="Times New Roman" w:eastAsia="宋体" w:cs="Times New Roman"/>
                <w:sz w:val="30"/>
                <w:szCs w:val="30"/>
              </w:rPr>
            </w:pPr>
          </w:p>
        </w:tc>
      </w:tr>
    </w:tbl>
    <w:p>
      <w:pPr>
        <w:adjustRightInd w:val="0"/>
        <w:snapToGrid w:val="0"/>
        <w:spacing w:line="480" w:lineRule="exact"/>
        <w:rPr>
          <w:rFonts w:cs="Times New Roman" w:asciiTheme="majorEastAsia" w:hAnsiTheme="majorEastAsia" w:eastAsiaTheme="majorEastAsia"/>
          <w:sz w:val="30"/>
          <w:szCs w:val="30"/>
        </w:rPr>
        <w:sectPr>
          <w:pgSz w:w="11906" w:h="16838"/>
          <w:pgMar w:top="2098" w:right="1531" w:bottom="1701" w:left="1531" w:header="851" w:footer="992" w:gutter="0"/>
          <w:cols w:space="720" w:num="1"/>
          <w:docGrid w:type="lines" w:linePitch="312" w:charSpace="0"/>
        </w:sectPr>
      </w:pPr>
    </w:p>
    <w:tbl>
      <w:tblPr>
        <w:tblStyle w:val="3"/>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7"/>
        <w:gridCol w:w="1354"/>
        <w:gridCol w:w="7"/>
        <w:gridCol w:w="56"/>
        <w:gridCol w:w="851"/>
        <w:gridCol w:w="1238"/>
        <w:gridCol w:w="888"/>
        <w:gridCol w:w="567"/>
        <w:gridCol w:w="1080"/>
        <w:gridCol w:w="196"/>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设 站</w:t>
            </w:r>
          </w:p>
          <w:p>
            <w:pPr>
              <w:spacing w:line="36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单位名称</w:t>
            </w:r>
          </w:p>
        </w:tc>
        <w:tc>
          <w:tcPr>
            <w:tcW w:w="7748"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江西挺进环保科技股份有限公司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企业规模</w:t>
            </w:r>
          </w:p>
        </w:tc>
        <w:tc>
          <w:tcPr>
            <w:tcW w:w="136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中型</w:t>
            </w:r>
          </w:p>
        </w:tc>
        <w:tc>
          <w:tcPr>
            <w:tcW w:w="468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是否公益性企业</w:t>
            </w:r>
          </w:p>
        </w:tc>
        <w:tc>
          <w:tcPr>
            <w:tcW w:w="1707"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企业信用</w:t>
            </w:r>
          </w:p>
          <w:p>
            <w:pPr>
              <w:spacing w:line="36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情况</w:t>
            </w:r>
          </w:p>
        </w:tc>
        <w:tc>
          <w:tcPr>
            <w:tcW w:w="136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良好</w:t>
            </w:r>
          </w:p>
        </w:tc>
        <w:tc>
          <w:tcPr>
            <w:tcW w:w="468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20</w:t>
            </w:r>
            <w:r>
              <w:rPr>
                <w:rFonts w:hint="eastAsia" w:ascii="Times New Roman" w:hAnsi="Times New Roman" w:eastAsia="仿宋_GB2312" w:cs="Times New Roman"/>
                <w:sz w:val="24"/>
                <w:szCs w:val="24"/>
              </w:rPr>
              <w:t>22年研发经费投入（万元）</w:t>
            </w:r>
          </w:p>
        </w:tc>
        <w:tc>
          <w:tcPr>
            <w:tcW w:w="1707"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1401.14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专职研发</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人员</w:t>
            </w:r>
            <w:r>
              <w:rPr>
                <w:rFonts w:ascii="Times New Roman" w:hAnsi="Times New Roman" w:eastAsia="仿宋_GB2312" w:cs="Times New Roman"/>
                <w:sz w:val="24"/>
                <w:szCs w:val="24"/>
              </w:rPr>
              <w:t>(</w:t>
            </w:r>
            <w:r>
              <w:rPr>
                <w:rFonts w:hint="eastAsia" w:ascii="Times New Roman" w:hAnsi="Times New Roman" w:eastAsia="仿宋_GB2312" w:cs="Times New Roman"/>
                <w:sz w:val="24"/>
                <w:szCs w:val="24"/>
              </w:rPr>
              <w:t>人</w:t>
            </w:r>
            <w:r>
              <w:rPr>
                <w:rFonts w:ascii="Times New Roman" w:hAnsi="Times New Roman" w:eastAsia="仿宋_GB2312" w:cs="Times New Roman"/>
                <w:sz w:val="24"/>
                <w:szCs w:val="24"/>
              </w:rPr>
              <w:t>)</w:t>
            </w:r>
          </w:p>
        </w:tc>
        <w:tc>
          <w:tcPr>
            <w:tcW w:w="1361"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w:t>
            </w:r>
          </w:p>
        </w:tc>
        <w:tc>
          <w:tcPr>
            <w:tcW w:w="90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其中</w:t>
            </w:r>
          </w:p>
        </w:tc>
        <w:tc>
          <w:tcPr>
            <w:tcW w:w="1238" w:type="dxa"/>
            <w:tcBorders>
              <w:top w:val="single" w:color="auto" w:sz="4" w:space="0"/>
              <w:left w:val="single" w:color="auto" w:sz="4" w:space="0"/>
              <w:right w:val="single" w:color="auto" w:sz="4" w:space="0"/>
            </w:tcBorders>
            <w:vAlign w:val="center"/>
          </w:tcPr>
          <w:p>
            <w:pPr>
              <w:ind w:left="12"/>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有国家级学术头衔的人员数</w:t>
            </w:r>
          </w:p>
        </w:tc>
        <w:tc>
          <w:tcPr>
            <w:tcW w:w="1455" w:type="dxa"/>
            <w:gridSpan w:val="2"/>
            <w:tcBorders>
              <w:top w:val="single" w:color="auto" w:sz="4" w:space="0"/>
              <w:left w:val="single" w:color="auto" w:sz="4" w:space="0"/>
              <w:right w:val="single" w:color="auto" w:sz="4" w:space="0"/>
            </w:tcBorders>
            <w:vAlign w:val="center"/>
          </w:tcPr>
          <w:p>
            <w:pPr>
              <w:jc w:val="center"/>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w:t>
            </w:r>
          </w:p>
        </w:tc>
        <w:tc>
          <w:tcPr>
            <w:tcW w:w="1276" w:type="dxa"/>
            <w:gridSpan w:val="2"/>
            <w:tcBorders>
              <w:top w:val="single" w:color="auto" w:sz="4" w:space="0"/>
              <w:left w:val="single" w:color="auto" w:sz="4" w:space="0"/>
              <w:right w:val="single" w:color="auto" w:sz="4" w:space="0"/>
            </w:tcBorders>
            <w:vAlign w:val="center"/>
          </w:tcPr>
          <w:p>
            <w:pPr>
              <w:ind w:left="12"/>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有省级学术头衔的人员数</w:t>
            </w:r>
          </w:p>
        </w:tc>
        <w:tc>
          <w:tcPr>
            <w:tcW w:w="1511" w:type="dxa"/>
            <w:tcBorders>
              <w:top w:val="single" w:color="auto" w:sz="4" w:space="0"/>
              <w:left w:val="single" w:color="auto" w:sz="4" w:space="0"/>
              <w:right w:val="single" w:color="auto" w:sz="4" w:space="0"/>
            </w:tcBorders>
            <w:vAlign w:val="center"/>
          </w:tcPr>
          <w:p>
            <w:pP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75"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市（厅）级及以上科技创新平台情况</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（重点实验室、工程技术研究中心、企业技术中心等，需提供证明材料）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平台名称</w:t>
            </w:r>
          </w:p>
        </w:tc>
        <w:tc>
          <w:tcPr>
            <w:tcW w:w="304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平台类别、级别</w:t>
            </w:r>
          </w:p>
        </w:tc>
        <w:tc>
          <w:tcPr>
            <w:tcW w:w="184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批准单位</w:t>
            </w:r>
          </w:p>
        </w:tc>
        <w:tc>
          <w:tcPr>
            <w:tcW w:w="151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获批时间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asciiTheme="minorHAnsi" w:hAnsiTheme="minorHAnsi" w:cstheme="minorBidi"/>
                <w:kern w:val="2"/>
                <w:sz w:val="24"/>
                <w:szCs w:val="22"/>
                <w:lang w:val="en-US" w:eastAsia="zh-CN" w:bidi="ar-SA"/>
              </w:rPr>
            </w:pPr>
            <w:r>
              <w:rPr>
                <w:rFonts w:hint="eastAsia" w:eastAsia="仿宋_GB2312"/>
                <w:sz w:val="24"/>
              </w:rPr>
              <w:t>江西省生态环境技术创新与成果转化示范基地</w:t>
            </w:r>
          </w:p>
        </w:tc>
        <w:tc>
          <w:tcPr>
            <w:tcW w:w="304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asciiTheme="minorHAnsi" w:hAnsiTheme="minorHAnsi" w:cstheme="minorBidi"/>
                <w:kern w:val="2"/>
                <w:sz w:val="24"/>
                <w:szCs w:val="22"/>
                <w:lang w:val="en-US" w:eastAsia="zh-CN" w:bidi="ar-SA"/>
              </w:rPr>
            </w:pPr>
            <w:r>
              <w:rPr>
                <w:rFonts w:hint="eastAsia" w:eastAsia="仿宋_GB2312"/>
                <w:sz w:val="24"/>
              </w:rPr>
              <w:t>生态环保</w:t>
            </w:r>
          </w:p>
        </w:tc>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asciiTheme="minorHAnsi" w:hAnsiTheme="minorHAnsi" w:cstheme="minorBidi"/>
                <w:kern w:val="2"/>
                <w:sz w:val="24"/>
                <w:szCs w:val="22"/>
                <w:lang w:val="en-US" w:eastAsia="zh-CN" w:bidi="ar-SA"/>
              </w:rPr>
            </w:pPr>
            <w:r>
              <w:rPr>
                <w:rFonts w:hint="eastAsia" w:eastAsia="仿宋_GB2312"/>
                <w:sz w:val="24"/>
              </w:rPr>
              <w:t>江西省生态环境厅</w:t>
            </w:r>
          </w:p>
        </w:tc>
        <w:tc>
          <w:tcPr>
            <w:tcW w:w="15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asciiTheme="minorHAnsi" w:hAnsiTheme="minorHAnsi" w:cstheme="minorBidi"/>
                <w:kern w:val="2"/>
                <w:sz w:val="24"/>
                <w:szCs w:val="22"/>
                <w:lang w:val="en-US" w:eastAsia="zh-CN" w:bidi="ar-SA"/>
              </w:rPr>
            </w:pPr>
            <w:r>
              <w:rPr>
                <w:rFonts w:hint="eastAsia" w:eastAsia="仿宋_GB2312"/>
                <w:sz w:val="24"/>
              </w:rPr>
              <w:t>2020年12月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赣州市市级企业技术中心</w:t>
            </w:r>
          </w:p>
        </w:tc>
        <w:tc>
          <w:tcPr>
            <w:tcW w:w="304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市级</w:t>
            </w:r>
          </w:p>
        </w:tc>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赣州市工业与信息化局</w:t>
            </w:r>
          </w:p>
        </w:tc>
        <w:tc>
          <w:tcPr>
            <w:tcW w:w="15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2023年9月20日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章贡区技术创新中心</w:t>
            </w:r>
          </w:p>
        </w:tc>
        <w:tc>
          <w:tcPr>
            <w:tcW w:w="304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区级</w:t>
            </w:r>
          </w:p>
        </w:tc>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章贡区科技局</w:t>
            </w:r>
          </w:p>
        </w:tc>
        <w:tc>
          <w:tcPr>
            <w:tcW w:w="15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2022年12月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304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5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304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5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jc w:val="center"/>
        </w:trPr>
        <w:tc>
          <w:tcPr>
            <w:tcW w:w="9375"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b/>
                <w:sz w:val="24"/>
                <w:szCs w:val="24"/>
              </w:rPr>
            </w:pPr>
            <w:r>
              <w:rPr>
                <w:rFonts w:hint="eastAsia" w:ascii="Times New Roman" w:hAnsi="Times New Roman" w:eastAsia="仿宋_GB2312" w:cs="Times New Roman"/>
                <w:b/>
                <w:sz w:val="24"/>
                <w:szCs w:val="24"/>
              </w:rPr>
              <w:t>可获得优先支持情况</w:t>
            </w:r>
          </w:p>
          <w:p>
            <w:pPr>
              <w:spacing w:line="36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（院士工作站、博士后科研工作站、省级及以上制造业（技术产业）、重点实验室、工程技术研究中心、企业技术中心、产业技术研究院等，需提供证明材料）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平台名称</w:t>
            </w:r>
          </w:p>
        </w:tc>
        <w:tc>
          <w:tcPr>
            <w:tcW w:w="304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平台类别、级别</w:t>
            </w:r>
          </w:p>
        </w:tc>
        <w:tc>
          <w:tcPr>
            <w:tcW w:w="184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批准单位</w:t>
            </w:r>
          </w:p>
        </w:tc>
        <w:tc>
          <w:tcPr>
            <w:tcW w:w="151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获批时间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304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5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304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5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304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5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304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5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304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5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304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5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304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c>
          <w:tcPr>
            <w:tcW w:w="15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375" w:type="dxa"/>
            <w:gridSpan w:val="11"/>
            <w:tcBorders>
              <w:top w:val="single" w:color="auto" w:sz="4" w:space="0"/>
              <w:left w:val="single" w:color="auto" w:sz="4" w:space="0"/>
              <w:bottom w:val="single" w:color="auto" w:sz="4" w:space="0"/>
              <w:right w:val="single" w:color="auto" w:sz="4" w:space="0"/>
            </w:tcBorders>
          </w:tcPr>
          <w:p>
            <w:pPr>
              <w:jc w:val="left"/>
              <w:rPr>
                <w:rFonts w:ascii="Times New Roman" w:hAnsi="Times New Roman" w:eastAsia="宋体" w:cs="Times New Roman"/>
                <w:szCs w:val="21"/>
              </w:rPr>
            </w:pPr>
            <w:r>
              <w:rPr>
                <w:rFonts w:hint="eastAsia" w:ascii="Times New Roman" w:hAnsi="Times New Roman" w:eastAsia="仿宋_GB2312" w:cs="Times New Roman"/>
                <w:sz w:val="24"/>
                <w:szCs w:val="24"/>
              </w:rPr>
              <w:t>设站单位与高校的合作情况（分条目列出，限</w:t>
            </w:r>
            <w:r>
              <w:rPr>
                <w:rFonts w:ascii="Times New Roman" w:hAnsi="Times New Roman" w:eastAsia="仿宋_GB2312" w:cs="Times New Roman"/>
                <w:sz w:val="24"/>
                <w:szCs w:val="24"/>
              </w:rPr>
              <w:t>1000</w:t>
            </w:r>
            <w:r>
              <w:rPr>
                <w:rFonts w:hint="eastAsia" w:ascii="Times New Roman" w:hAnsi="Times New Roman" w:eastAsia="仿宋_GB2312" w:cs="Times New Roman"/>
                <w:sz w:val="24"/>
                <w:szCs w:val="24"/>
              </w:rPr>
              <w:t>字以内。其中，联合承担的纵向和横向项目或成果限填具有代表性的</w:t>
            </w:r>
            <w:r>
              <w:rPr>
                <w:rFonts w:ascii="Times New Roman" w:hAnsi="Times New Roman" w:eastAsia="仿宋_GB2312" w:cs="Times New Roman"/>
                <w:sz w:val="24"/>
                <w:szCs w:val="24"/>
              </w:rPr>
              <w:t>3</w:t>
            </w:r>
            <w:r>
              <w:rPr>
                <w:rFonts w:hint="eastAsia" w:ascii="Times New Roman" w:hAnsi="Times New Roman" w:eastAsia="仿宋_GB2312" w:cs="Times New Roman"/>
                <w:sz w:val="24"/>
                <w:szCs w:val="24"/>
              </w:rPr>
              <w:t>项，需填写项目名称、批准单位、获批时间、项目内容、取得的成果等内容，并提供证明材料）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9" w:hRule="atLeast"/>
          <w:jc w:val="center"/>
        </w:trPr>
        <w:tc>
          <w:tcPr>
            <w:tcW w:w="9375" w:type="dxa"/>
            <w:gridSpan w:val="11"/>
            <w:tcBorders>
              <w:top w:val="single" w:color="auto" w:sz="4" w:space="0"/>
              <w:left w:val="single" w:color="auto" w:sz="4" w:space="0"/>
              <w:bottom w:val="single" w:color="auto" w:sz="4" w:space="0"/>
              <w:right w:val="single" w:color="auto" w:sz="4" w:space="0"/>
            </w:tcBorders>
          </w:tcPr>
          <w:p>
            <w:pPr>
              <w:rPr>
                <w:rFonts w:ascii="Times New Roman" w:hAnsi="Times New Roman" w:eastAsia="宋体" w:cs="Times New Roman"/>
                <w:szCs w:val="21"/>
              </w:rPr>
            </w:pPr>
          </w:p>
          <w:p>
            <w:pPr>
              <w:spacing w:after="0" w:line="440" w:lineRule="exact"/>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val="en-US" w:eastAsia="zh-CN"/>
              </w:rPr>
              <w:t>1、</w:t>
            </w:r>
            <w:r>
              <w:rPr>
                <w:rFonts w:hint="eastAsia" w:ascii="仿宋_GB2312" w:hAnsi="仿宋_GB2312" w:eastAsia="仿宋_GB2312" w:cs="仿宋_GB2312"/>
                <w:b/>
                <w:bCs/>
                <w:sz w:val="24"/>
                <w:szCs w:val="24"/>
                <w:lang w:eastAsia="zh-CN"/>
              </w:rPr>
              <w:t>南昌航空大学主导申报江西省重点研发计划项目</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项目名称:</w:t>
            </w:r>
            <w:r>
              <w:rPr>
                <w:rFonts w:hint="eastAsia" w:ascii="仿宋_GB2312" w:hAnsi="仿宋_GB2312" w:eastAsia="仿宋_GB2312" w:cs="仿宋_GB2312"/>
                <w:sz w:val="24"/>
                <w:szCs w:val="24"/>
                <w:lang w:eastAsia="zh-CN"/>
              </w:rPr>
              <w:t>高氨氮废水韧性高效处理与资源化关键技术及工程示范</w:t>
            </w:r>
            <w:r>
              <w:rPr>
                <w:rFonts w:hint="eastAsia" w:ascii="仿宋_GB2312" w:hAnsi="仿宋_GB2312" w:eastAsia="仿宋_GB2312" w:cs="仿宋_GB2312"/>
                <w:sz w:val="24"/>
                <w:szCs w:val="24"/>
              </w:rPr>
              <w:t xml:space="preserve">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批准单位:</w:t>
            </w:r>
            <w:r>
              <w:rPr>
                <w:rFonts w:hint="eastAsia" w:ascii="仿宋_GB2312" w:hAnsi="仿宋_GB2312" w:eastAsia="仿宋_GB2312" w:cs="仿宋_GB2312"/>
                <w:sz w:val="24"/>
                <w:szCs w:val="24"/>
                <w:lang w:eastAsia="zh-CN"/>
              </w:rPr>
              <w:t>江西省科学技术厅</w:t>
            </w:r>
            <w:r>
              <w:rPr>
                <w:rFonts w:hint="eastAsia" w:ascii="仿宋_GB2312" w:hAnsi="仿宋_GB2312" w:eastAsia="仿宋_GB2312" w:cs="仿宋_GB2312"/>
                <w:sz w:val="24"/>
                <w:szCs w:val="24"/>
              </w:rPr>
              <w:t xml:space="preserve">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获批时间: 202</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年</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项目内容：</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任务1：高氨氮废水干扰因子识别及适度靶向调制技术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(1) 高氨氮废水水质特征解析及干扰因子快速识别技术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(2) 基于不同水质适度靶向调制的高氨氮废水预处理技术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任务2：宽C/N高氨氮废水特异性微藻高效韧性处理技术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(1) 高氨氮废水处理的特异性微藻筛选及效能评价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(2) 基于特异性微藻的宽C/N高氨氮废水处理效能强化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任务3：微藻高效收获资源化回收技术及装备与工程示范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(1) 基于自絮凝特性的微调节藻类快速高效收获技术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(2) 湿藻油脂绿色提取及资源化回收技术与装备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(3) 高氨氮废水韧性高效处理技术集成及工程示范 </w:t>
            </w:r>
          </w:p>
          <w:p>
            <w:pPr>
              <w:spacing w:after="0" w:line="44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在江西挺进环保科技股份有限公司等单位分别建成稀土尾水和垃圾渗滤液的氨氮高效处理和资源化示范工程各1个。 </w:t>
            </w:r>
          </w:p>
          <w:p>
            <w:pPr>
              <w:spacing w:after="0" w:line="440" w:lineRule="exact"/>
              <w:ind w:firstLine="480" w:firstLineChars="200"/>
              <w:rPr>
                <w:rFonts w:hint="eastAsia" w:ascii="仿宋" w:hAnsi="仿宋" w:eastAsia="仿宋"/>
                <w:sz w:val="24"/>
                <w:szCs w:val="24"/>
                <w:lang w:val="en-US" w:eastAsia="zh-CN"/>
              </w:rPr>
            </w:pPr>
          </w:p>
          <w:p>
            <w:pPr>
              <w:spacing w:after="0" w:line="440" w:lineRule="exact"/>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val="en-US" w:eastAsia="zh-CN"/>
              </w:rPr>
              <w:t>2、</w:t>
            </w:r>
            <w:r>
              <w:rPr>
                <w:rFonts w:hint="eastAsia" w:ascii="仿宋_GB2312" w:hAnsi="仿宋_GB2312" w:eastAsia="仿宋_GB2312" w:cs="仿宋_GB2312"/>
                <w:b/>
                <w:bCs/>
                <w:sz w:val="24"/>
                <w:szCs w:val="24"/>
                <w:lang w:eastAsia="zh-CN"/>
              </w:rPr>
              <w:t>江西理工大学主导申报国家重点研发计划</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项目名称:</w:t>
            </w:r>
            <w:r>
              <w:rPr>
                <w:rFonts w:hint="eastAsia" w:ascii="仿宋_GB2312" w:hAnsi="仿宋_GB2312" w:eastAsia="仿宋_GB2312" w:cs="仿宋_GB2312"/>
                <w:sz w:val="24"/>
                <w:szCs w:val="24"/>
                <w:lang w:eastAsia="zh-CN"/>
              </w:rPr>
              <w:t>离子型稀土矿浸矿场地土壤污染控制及生态功能恢复技术</w:t>
            </w:r>
            <w:r>
              <w:rPr>
                <w:rFonts w:hint="eastAsia" w:ascii="仿宋_GB2312" w:hAnsi="仿宋_GB2312" w:eastAsia="仿宋_GB2312" w:cs="仿宋_GB2312"/>
                <w:sz w:val="24"/>
                <w:szCs w:val="24"/>
              </w:rPr>
              <w:t xml:space="preserve">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批准单位:</w:t>
            </w:r>
            <w:r>
              <w:rPr>
                <w:rFonts w:hint="eastAsia" w:ascii="仿宋_GB2312" w:hAnsi="仿宋_GB2312" w:eastAsia="仿宋_GB2312" w:cs="仿宋_GB2312"/>
                <w:sz w:val="24"/>
                <w:szCs w:val="24"/>
                <w:lang w:eastAsia="zh-CN"/>
              </w:rPr>
              <w:t>中国</w:t>
            </w:r>
            <w:r>
              <w:rPr>
                <w:rFonts w:hint="eastAsia" w:ascii="仿宋_GB2312" w:hAnsi="仿宋_GB2312" w:eastAsia="仿宋_GB2312" w:cs="仿宋_GB2312"/>
                <w:sz w:val="24"/>
                <w:szCs w:val="24"/>
                <w:lang w:val="en-US" w:eastAsia="zh-CN"/>
              </w:rPr>
              <w:t>21世纪议程管理中心</w:t>
            </w:r>
            <w:r>
              <w:rPr>
                <w:rFonts w:hint="eastAsia" w:ascii="仿宋_GB2312" w:hAnsi="仿宋_GB2312" w:eastAsia="仿宋_GB2312" w:cs="仿宋_GB2312"/>
                <w:sz w:val="24"/>
                <w:szCs w:val="24"/>
              </w:rPr>
              <w:t xml:space="preserve">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获批时间: 202</w:t>
            </w:r>
            <w:r>
              <w:rPr>
                <w:rFonts w:hint="eastAsia" w:ascii="仿宋_GB2312" w:hAnsi="仿宋_GB2312" w:eastAsia="仿宋_GB2312" w:cs="仿宋_GB2312"/>
                <w:sz w:val="24"/>
                <w:szCs w:val="24"/>
                <w:lang w:val="en-US" w:eastAsia="zh-CN"/>
              </w:rPr>
              <w:t>03</w:t>
            </w:r>
            <w:r>
              <w:rPr>
                <w:rFonts w:hint="eastAsia" w:ascii="仿宋_GB2312" w:hAnsi="仿宋_GB2312" w:eastAsia="仿宋_GB2312" w:cs="仿宋_GB2312"/>
                <w:sz w:val="24"/>
                <w:szCs w:val="24"/>
              </w:rPr>
              <w:t>年</w:t>
            </w:r>
          </w:p>
          <w:p>
            <w:pPr>
              <w:spacing w:after="0" w:line="44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挺进环保承担课题</w:t>
            </w:r>
            <w:r>
              <w:rPr>
                <w:rFonts w:hint="eastAsia" w:ascii="仿宋_GB2312" w:hAnsi="仿宋_GB2312" w:eastAsia="仿宋_GB2312" w:cs="仿宋_GB2312"/>
                <w:sz w:val="24"/>
                <w:szCs w:val="24"/>
                <w:lang w:val="en-US" w:eastAsia="zh-CN"/>
              </w:rPr>
              <w:t>5任务：稀土矿区源流汇一体化污染控制技术工程示范</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项目内容：</w:t>
            </w:r>
          </w:p>
          <w:p>
            <w:pPr>
              <w:numPr>
                <w:ilvl w:val="0"/>
                <w:numId w:val="1"/>
              </w:numPr>
              <w:spacing w:after="0" w:line="44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建立稀土矿区源—流—汇一体化控制技术示范工程；</w:t>
            </w:r>
          </w:p>
          <w:p>
            <w:pPr>
              <w:numPr>
                <w:ilvl w:val="0"/>
                <w:numId w:val="1"/>
              </w:numPr>
              <w:spacing w:after="0" w:line="44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协助课题组采集流域和尾水处理等设施的样品，以及原位监测数据的收集。</w:t>
            </w:r>
          </w:p>
          <w:p>
            <w:pPr>
              <w:numPr>
                <w:ilvl w:val="0"/>
                <w:numId w:val="0"/>
              </w:numPr>
              <w:spacing w:after="0" w:line="440" w:lineRule="exact"/>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目前，项目已顺利结题验收。</w:t>
            </w:r>
          </w:p>
          <w:p>
            <w:pPr>
              <w:numPr>
                <w:ilvl w:val="0"/>
                <w:numId w:val="0"/>
              </w:numPr>
              <w:spacing w:after="0" w:line="440" w:lineRule="exact"/>
              <w:rPr>
                <w:rFonts w:hint="eastAsia" w:ascii="仿宋" w:hAnsi="仿宋" w:eastAsia="仿宋"/>
                <w:sz w:val="24"/>
                <w:szCs w:val="24"/>
                <w:lang w:eastAsia="zh-CN"/>
              </w:rPr>
            </w:pPr>
          </w:p>
          <w:p>
            <w:pPr>
              <w:numPr>
                <w:ilvl w:val="0"/>
                <w:numId w:val="0"/>
              </w:numPr>
              <w:spacing w:after="0" w:line="440" w:lineRule="exact"/>
              <w:ind w:firstLine="482" w:firstLineChars="200"/>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3.与中国科学院广州地球化学研究所联合申报赣州市市级重点研发计划项目</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项目名称:流域稀土尾水治理技术研发及示范作用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批准单位: 赣州市科学技术局 </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获批时间: 2020年</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项目内容：</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对三级渗滤耦合工艺进行优化升级，进一步提高其对流域稀土尾水的处理效能。主要研究内容包括如下方面。</w:t>
            </w:r>
          </w:p>
          <w:p>
            <w:pPr>
              <w:numPr>
                <w:ilvl w:val="0"/>
                <w:numId w:val="2"/>
              </w:num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渗滤系统填料配方及结构优化</w:t>
            </w:r>
          </w:p>
          <w:p>
            <w:pPr>
              <w:numPr>
                <w:ilvl w:val="0"/>
                <w:numId w:val="2"/>
              </w:num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供氧方式及水力负荷优化</w:t>
            </w:r>
          </w:p>
          <w:p>
            <w:pPr>
              <w:numPr>
                <w:ilvl w:val="0"/>
                <w:numId w:val="2"/>
              </w:numPr>
              <w:spacing w:after="0" w:line="440" w:lineRule="exact"/>
              <w:ind w:left="0" w:leftChars="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营养物质供给优化</w:t>
            </w:r>
          </w:p>
          <w:p>
            <w:pPr>
              <w:numPr>
                <w:numId w:val="0"/>
              </w:numPr>
              <w:spacing w:after="0" w:line="440" w:lineRule="exact"/>
              <w:ind w:left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4.自养脱氮路径初步研究</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5.工程化研究</w:t>
            </w:r>
            <w:bookmarkStart w:id="0" w:name="_GoBack"/>
            <w:bookmarkEnd w:id="0"/>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项目成果:</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申请</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"http://www.so.com/s?q=%E5%8F%91%E6%98%8E%E4%B8%93%E5%88%A9&amp;ie=utf-8&amp;src=internal_wenda_recommend_textn" \t "_blank"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发明专利</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t>1项、申请</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"http://www.so.com/s?q=%E5%AE%9E%E7%94%A8%E6%96%B0%E5%9E%8B%E4%B8%93%E5%88%A9&amp;ie=utf-8&amp;src=internal_wenda_recommend_textn" \t "_blank"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实用新型专利</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t>1项</w:t>
            </w: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375"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rPr>
            </w:pPr>
            <w:r>
              <w:rPr>
                <w:rFonts w:hint="eastAsia" w:ascii="Times New Roman" w:hAnsi="Times New Roman" w:eastAsia="仿宋_GB2312" w:cs="Times New Roman"/>
                <w:sz w:val="24"/>
                <w:szCs w:val="24"/>
              </w:rPr>
              <w:t>工作站条件保障情况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75" w:type="dxa"/>
            <w:gridSpan w:val="11"/>
            <w:tcBorders>
              <w:top w:val="single" w:color="auto" w:sz="4" w:space="0"/>
              <w:left w:val="single" w:color="auto" w:sz="4" w:space="0"/>
              <w:bottom w:val="single" w:color="auto" w:sz="4" w:space="0"/>
              <w:right w:val="single" w:color="auto" w:sz="4" w:space="0"/>
            </w:tcBorders>
          </w:tcPr>
          <w:p>
            <w:pPr>
              <w:numPr>
                <w:ilvl w:val="0"/>
                <w:numId w:val="3"/>
              </w:numP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人员保障条件（包括能指导研究生科研创新实践的专业技术或管理专家等情况）</w:t>
            </w:r>
          </w:p>
          <w:p>
            <w:pPr>
              <w:widowControl w:val="0"/>
              <w:numPr>
                <w:ilvl w:val="0"/>
                <w:numId w:val="0"/>
              </w:numPr>
              <w:jc w:val="both"/>
              <w:rPr>
                <w:rFonts w:hint="eastAsia" w:ascii="仿宋" w:hAnsi="仿宋" w:eastAsia="仿宋" w:cs="仿宋"/>
                <w:sz w:val="24"/>
                <w:szCs w:val="24"/>
              </w:rPr>
            </w:pPr>
          </w:p>
          <w:p>
            <w:pPr>
              <w:widowControl w:val="0"/>
              <w:numPr>
                <w:ilvl w:val="0"/>
                <w:numId w:val="0"/>
              </w:numPr>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专家：</w:t>
            </w:r>
          </w:p>
          <w:p>
            <w:pPr>
              <w:widowControl w:val="0"/>
              <w:numPr>
                <w:ilvl w:val="0"/>
                <w:numId w:val="0"/>
              </w:numPr>
              <w:jc w:val="both"/>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1、</w:t>
            </w:r>
            <w:r>
              <w:rPr>
                <w:rFonts w:hint="eastAsia" w:ascii="仿宋_GB2312" w:hAnsi="仿宋_GB2312" w:eastAsia="仿宋_GB2312" w:cs="仿宋_GB2312"/>
                <w:b/>
                <w:bCs/>
                <w:sz w:val="24"/>
                <w:szCs w:val="24"/>
                <w:lang w:eastAsia="zh-CN"/>
              </w:rPr>
              <w:t>周北海</w:t>
            </w:r>
            <w:r>
              <w:rPr>
                <w:rFonts w:hint="eastAsia" w:ascii="仿宋_GB2312" w:hAnsi="仿宋_GB2312" w:eastAsia="仿宋_GB2312" w:cs="仿宋_GB2312"/>
                <w:b/>
                <w:bCs/>
                <w:sz w:val="24"/>
                <w:szCs w:val="24"/>
                <w:lang w:val="en-US" w:eastAsia="zh-CN"/>
              </w:rPr>
              <w:t xml:space="preserve"> 公司独董</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环境工程系博士研究生毕业（工学博士）。1993-1994年和1995年日本福冈大学和琦玉大学从事固体废物填埋技术和光催化水处理技术研究；1996-1999年国家环保总局固体废物登记管理中心主任；2001-2004年中国驻日本大使馆高级科技外交官；2005年4月至今北京科技大学能源与环境工程学院，教授</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研究领域：</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1）水污染控制与治理技术</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2）饮用水安全保障技术</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3）固体废物处理处置及资源化技术</w:t>
            </w:r>
          </w:p>
          <w:p>
            <w:pPr>
              <w:widowControl w:val="0"/>
              <w:numPr>
                <w:ilvl w:val="0"/>
                <w:numId w:val="0"/>
              </w:numPr>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4.）环境管理信息系统应用技术</w:t>
            </w:r>
          </w:p>
          <w:p>
            <w:pPr>
              <w:widowControl w:val="0"/>
              <w:numPr>
                <w:ilvl w:val="0"/>
                <w:numId w:val="0"/>
              </w:numPr>
              <w:jc w:val="both"/>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2、罗青春 公司副总裁 高级工程师</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2004毕业于景德镇陶瓷学院环境工程专业，注册环保工程师。主要涉及项目：抚州金巢工业园区污水处理厂20000m3/d BOT项目总技术负责人，负责项目的工艺设计及组织施工、工程及环保验收；湖口县洋港生活污水处理厂10000m3/d BOT项目工艺设计及总技术负责人；九江官湖污水处理厂20000m3/d技术总负责人。已经获得发明专利12项， 实用新型专利11项。</w:t>
            </w:r>
          </w:p>
          <w:p>
            <w:pPr>
              <w:widowControl w:val="0"/>
              <w:numPr>
                <w:ilvl w:val="0"/>
                <w:numId w:val="0"/>
              </w:numPr>
              <w:jc w:val="both"/>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3、宁小飞  公司副总裁、高级工程师</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主要从事环境工程水处理，主要涉及的水处理包括生活污水、制药废水、食品废水、炼化废水、焦化废水、印染废水以及水环境综合治理与稀土矿山尾水等，参与项目的方案、设计、施工、调试和运营等多个环节，成功实践各种类型项目超过50个，总金额超过了6亿元。已经获得发明专利10项，实用新型专利23项，外观专利1项；参与国家科技项目1项，负责省级项目1项、市级项目1项、区级项目2项。</w:t>
            </w:r>
          </w:p>
          <w:p>
            <w:pPr>
              <w:widowControl w:val="0"/>
              <w:numPr>
                <w:ilvl w:val="0"/>
                <w:numId w:val="0"/>
              </w:numPr>
              <w:jc w:val="both"/>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4、陈后兴 公司研发副总监、硕士、高级工程师</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主要从事环境工程水处理，主持省科技厅重点研发项目1项，参与科技部科研院所技术开发研究专项资金项目1项，参与完成江西省科技成果转移转化项目1项，主持集团科技计划项目4项，主持工业废水新、改建工程项目5项，授权发明专利3项，授权实用新型专利7项。获得江西省科学技术进步奖二等奖1项，中国有色金属工业科学技术奖二、三等奖各1项，赣州市科学技术进步奖二等奖1项，科技创新奖--科技创新成果优秀奖1项，中国稀土科学技术奖二等奖1项，中国五矿集团公司科学技术进步奖二等奖1项，江西钨业集团有限公司科学技术奖二等奖2项、三等奖1项。</w:t>
            </w:r>
          </w:p>
          <w:p>
            <w:pPr>
              <w:widowControl w:val="0"/>
              <w:numPr>
                <w:ilvl w:val="0"/>
                <w:numId w:val="4"/>
              </w:numPr>
              <w:jc w:val="both"/>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邱根萍 公司研发经理 硕士、高级工程师</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2010年毕业于浙江师范大学，物理化学专业，高级工程师，涉及的环保领域包括建设用地土壤修复与农田修复，重金属废水处理，高级氧化、多功能环保材料等，参与到上述项目的各个环节中，包括方案、设计、施工管理、工程调试和工程验收等工作，完成各类型项目5个，总金额达1.2亿元。</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其他条件：</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（1）积极创造条件，吸收培养高科技人才，建立人才培养流动机制，积极做好产学研结合工作，搞好技术市场的开发，逐步实现良性循环的新机制。</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（2）定期聘请污水处理行业专家对公司技术人员进行专业培训。此外，每年组织公司技术人员进大学院校进行不定期培训深造，提升技术人员的专业水平。</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（3）公司每年将举办环保技术交流会，邀请国内行业专家、学者以及知名生产企业人士共同探讨行业未来发展方向，提供污水处理产业服务信息，促进污水处理产业的持续、高速发展。</w:t>
            </w: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r>
              <w:rPr>
                <w:rFonts w:ascii="Times New Roman" w:hAnsi="Times New Roman" w:eastAsia="仿宋_GB2312" w:cs="Times New Roman"/>
                <w:sz w:val="24"/>
                <w:szCs w:val="24"/>
              </w:rPr>
              <w:t>2.</w:t>
            </w:r>
            <w:r>
              <w:rPr>
                <w:rFonts w:hint="eastAsia" w:ascii="Times New Roman" w:hAnsi="Times New Roman" w:eastAsia="仿宋_GB2312" w:cs="Times New Roman"/>
                <w:sz w:val="24"/>
                <w:szCs w:val="24"/>
              </w:rPr>
              <w:t>工作保障条件（如科研设施、实践场地等情况）</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rPr>
              <w:t>（1）</w:t>
            </w:r>
            <w:r>
              <w:rPr>
                <w:rFonts w:hint="eastAsia" w:ascii="仿宋_GB2312" w:hAnsi="仿宋_GB2312" w:eastAsia="仿宋_GB2312" w:cs="仿宋_GB2312"/>
                <w:sz w:val="24"/>
                <w:szCs w:val="24"/>
              </w:rPr>
              <w:t>公司拥有</w:t>
            </w:r>
            <w:r>
              <w:rPr>
                <w:rFonts w:hint="eastAsia" w:ascii="仿宋_GB2312" w:hAnsi="仿宋_GB2312" w:eastAsia="仿宋_GB2312" w:cs="仿宋_GB2312"/>
                <w:sz w:val="24"/>
                <w:szCs w:val="24"/>
                <w:lang w:eastAsia="zh-CN"/>
              </w:rPr>
              <w:t>原子吸收仪</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紫外分光光度计</w:t>
            </w:r>
            <w:r>
              <w:rPr>
                <w:rFonts w:hint="eastAsia" w:ascii="仿宋_GB2312" w:hAnsi="仿宋_GB2312" w:eastAsia="仿宋_GB2312" w:cs="仿宋_GB2312"/>
                <w:sz w:val="24"/>
                <w:szCs w:val="24"/>
              </w:rPr>
              <w:t>等先进研发设备，总价值约</w:t>
            </w:r>
            <w:r>
              <w:rPr>
                <w:rFonts w:hint="eastAsia" w:ascii="仿宋_GB2312" w:hAnsi="仿宋_GB2312" w:eastAsia="仿宋_GB2312" w:cs="仿宋_GB2312"/>
                <w:sz w:val="24"/>
                <w:szCs w:val="24"/>
                <w:lang w:val="en-US" w:eastAsia="zh-CN"/>
              </w:rPr>
              <w:t>300</w:t>
            </w:r>
            <w:r>
              <w:rPr>
                <w:rFonts w:hint="eastAsia" w:ascii="仿宋_GB2312" w:hAnsi="仿宋_GB2312" w:eastAsia="仿宋_GB2312" w:cs="仿宋_GB2312"/>
                <w:sz w:val="24"/>
                <w:szCs w:val="24"/>
              </w:rPr>
              <w:t>万元。</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rPr>
              <w:t>（2）</w:t>
            </w:r>
            <w:r>
              <w:rPr>
                <w:rFonts w:hint="eastAsia" w:ascii="仿宋_GB2312" w:hAnsi="仿宋_GB2312" w:eastAsia="仿宋_GB2312" w:cs="仿宋_GB2312"/>
                <w:sz w:val="24"/>
                <w:szCs w:val="24"/>
                <w:lang w:eastAsia="zh-CN"/>
              </w:rPr>
              <w:t>企业</w:t>
            </w:r>
            <w:r>
              <w:rPr>
                <w:rFonts w:hint="eastAsia" w:ascii="仿宋_GB2312" w:hAnsi="仿宋_GB2312" w:eastAsia="仿宋_GB2312" w:cs="仿宋_GB2312"/>
                <w:sz w:val="24"/>
                <w:szCs w:val="24"/>
              </w:rPr>
              <w:t>技术研究中心现有室内研发实验场所</w:t>
            </w:r>
            <w:r>
              <w:rPr>
                <w:rFonts w:hint="eastAsia" w:ascii="仿宋_GB2312" w:hAnsi="仿宋_GB2312" w:eastAsia="仿宋_GB2312" w:cs="仿宋_GB2312"/>
                <w:sz w:val="24"/>
                <w:szCs w:val="24"/>
                <w:lang w:val="en-US" w:eastAsia="zh-CN"/>
              </w:rPr>
              <w:t>20</w:t>
            </w:r>
            <w:r>
              <w:rPr>
                <w:rFonts w:hint="eastAsia" w:ascii="仿宋_GB2312" w:hAnsi="仿宋_GB2312" w:eastAsia="仿宋_GB2312" w:cs="仿宋_GB2312"/>
                <w:sz w:val="24"/>
                <w:szCs w:val="24"/>
              </w:rPr>
              <w:t>0平方米，并在</w:t>
            </w:r>
            <w:r>
              <w:rPr>
                <w:rFonts w:hint="eastAsia" w:ascii="仿宋_GB2312" w:hAnsi="仿宋_GB2312" w:eastAsia="仿宋_GB2312" w:cs="仿宋_GB2312"/>
                <w:b/>
                <w:sz w:val="24"/>
              </w:rPr>
              <w:t>稀土矿山</w:t>
            </w:r>
            <w:r>
              <w:rPr>
                <w:rFonts w:hint="eastAsia" w:ascii="仿宋_GB2312" w:hAnsi="仿宋_GB2312" w:eastAsia="仿宋_GB2312" w:cs="仿宋_GB2312"/>
                <w:b/>
                <w:sz w:val="24"/>
                <w:szCs w:val="24"/>
              </w:rPr>
              <w:t>尾水回收点</w:t>
            </w:r>
            <w:r>
              <w:rPr>
                <w:rFonts w:hint="eastAsia" w:ascii="仿宋_GB2312" w:hAnsi="仿宋_GB2312" w:eastAsia="仿宋_GB2312" w:cs="仿宋_GB2312"/>
                <w:sz w:val="24"/>
                <w:szCs w:val="24"/>
              </w:rPr>
              <w:t>建有多个实验点进行技术的创新改进研究。</w:t>
            </w:r>
          </w:p>
          <w:p>
            <w:pPr>
              <w:spacing w:after="0" w:line="44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eastAsia="zh-CN"/>
              </w:rPr>
              <w:t>）公司建有企业技术中心，先后与江西理工大学、中国科学院广州地球化学研究所、复旦大学、南昌航空大学、中科科学院创新研究所、赣南师范大学等的合作。并与赣南师范大学联合共建“难降解废水处理和固废资源化技术产业化应用联合实验室”共同开展“典型行业难降解废水、城市固废和土壤污染”等领域的研发等方面的工作。</w:t>
            </w:r>
          </w:p>
          <w:p>
            <w:pPr>
              <w:rPr>
                <w:rFonts w:hint="eastAsia" w:ascii="仿宋_GB2312" w:hAnsi="仿宋_GB2312" w:eastAsia="仿宋_GB2312" w:cs="仿宋_GB2312"/>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r>
              <w:rPr>
                <w:rFonts w:ascii="Times New Roman" w:hAnsi="Times New Roman" w:eastAsia="仿宋_GB2312" w:cs="Times New Roman"/>
                <w:sz w:val="24"/>
                <w:szCs w:val="24"/>
              </w:rPr>
              <w:t>3.</w:t>
            </w:r>
            <w:r>
              <w:rPr>
                <w:rFonts w:hint="eastAsia" w:ascii="Times New Roman" w:hAnsi="Times New Roman" w:eastAsia="仿宋_GB2312" w:cs="Times New Roman"/>
                <w:sz w:val="24"/>
                <w:szCs w:val="24"/>
              </w:rPr>
              <w:t>生活保障条件（包括为进站研究生提供生活、交通、通讯等补助及食宿条件等情况）</w:t>
            </w:r>
          </w:p>
          <w:p>
            <w:pPr>
              <w:rPr>
                <w:rFonts w:ascii="Times New Roman" w:hAnsi="Times New Roman" w:eastAsia="仿宋_GB2312" w:cs="Times New Roman"/>
                <w:sz w:val="24"/>
                <w:szCs w:val="24"/>
              </w:rPr>
            </w:pP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rPr>
              <w:t>）</w:t>
            </w:r>
            <w:r>
              <w:rPr>
                <w:rFonts w:hint="eastAsia" w:ascii="仿宋_GB2312" w:hAnsi="仿宋_GB2312" w:eastAsia="仿宋_GB2312" w:cs="仿宋_GB2312"/>
                <w:sz w:val="24"/>
                <w:szCs w:val="24"/>
              </w:rPr>
              <w:t>公司提供住宿</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rPr>
              <w:t>）</w:t>
            </w:r>
            <w:r>
              <w:rPr>
                <w:rFonts w:hint="eastAsia" w:ascii="仿宋_GB2312" w:hAnsi="仿宋_GB2312" w:eastAsia="仿宋_GB2312" w:cs="仿宋_GB2312"/>
                <w:sz w:val="24"/>
                <w:szCs w:val="24"/>
              </w:rPr>
              <w:t>差旅费公司报销</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sz w:val="24"/>
              </w:rPr>
              <w:t>）</w:t>
            </w:r>
            <w:r>
              <w:rPr>
                <w:rFonts w:hint="eastAsia" w:ascii="仿宋_GB2312" w:hAnsi="仿宋_GB2312" w:eastAsia="仿宋_GB2312" w:cs="仿宋_GB2312"/>
                <w:sz w:val="24"/>
                <w:szCs w:val="24"/>
              </w:rPr>
              <w:t>每月报销通讯费</w:t>
            </w:r>
          </w:p>
          <w:p>
            <w:pPr>
              <w:spacing w:after="0"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r>
              <w:rPr>
                <w:rFonts w:hint="eastAsia" w:ascii="仿宋_GB2312" w:hAnsi="仿宋_GB2312" w:eastAsia="仿宋_GB2312" w:cs="仿宋_GB2312"/>
                <w:sz w:val="24"/>
              </w:rPr>
              <w:t>）</w:t>
            </w:r>
            <w:r>
              <w:rPr>
                <w:rFonts w:hint="eastAsia" w:ascii="仿宋_GB2312" w:hAnsi="仿宋_GB2312" w:eastAsia="仿宋_GB2312" w:cs="仿宋_GB2312"/>
                <w:sz w:val="24"/>
                <w:lang w:eastAsia="zh-CN"/>
              </w:rPr>
              <w:t>公司总部以及每个项目点建有食堂，如不在食堂吃，</w:t>
            </w:r>
            <w:r>
              <w:rPr>
                <w:rFonts w:hint="eastAsia" w:ascii="仿宋_GB2312" w:hAnsi="仿宋_GB2312" w:eastAsia="仿宋_GB2312" w:cs="仿宋_GB2312"/>
                <w:sz w:val="24"/>
                <w:szCs w:val="24"/>
              </w:rPr>
              <w:t>每月发放餐费补助</w:t>
            </w:r>
          </w:p>
          <w:p>
            <w:pPr>
              <w:rPr>
                <w:rFonts w:hint="eastAsia" w:ascii="仿宋_GB2312" w:hAnsi="仿宋_GB2312" w:eastAsia="仿宋_GB2312" w:cs="仿宋_GB2312"/>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r>
              <w:rPr>
                <w:rFonts w:ascii="Times New Roman" w:hAnsi="Times New Roman" w:eastAsia="仿宋_GB2312" w:cs="Times New Roman"/>
                <w:sz w:val="24"/>
                <w:szCs w:val="24"/>
              </w:rPr>
              <w:t>4.</w:t>
            </w:r>
            <w:r>
              <w:rPr>
                <w:rFonts w:hint="eastAsia" w:ascii="Times New Roman" w:hAnsi="Times New Roman" w:eastAsia="仿宋_GB2312" w:cs="Times New Roman"/>
                <w:sz w:val="24"/>
                <w:szCs w:val="24"/>
              </w:rPr>
              <w:t>研究生进站培养计划和方案（限</w:t>
            </w:r>
            <w:r>
              <w:rPr>
                <w:rFonts w:ascii="Times New Roman" w:hAnsi="Times New Roman" w:eastAsia="仿宋_GB2312" w:cs="Times New Roman"/>
                <w:sz w:val="24"/>
                <w:szCs w:val="24"/>
              </w:rPr>
              <w:t>800</w:t>
            </w:r>
            <w:r>
              <w:rPr>
                <w:rFonts w:hint="eastAsia" w:ascii="Times New Roman" w:hAnsi="Times New Roman" w:eastAsia="仿宋_GB2312" w:cs="Times New Roman"/>
                <w:sz w:val="24"/>
                <w:szCs w:val="24"/>
              </w:rPr>
              <w:t>字以内）</w:t>
            </w:r>
          </w:p>
          <w:p>
            <w:pPr>
              <w:rPr>
                <w:rFonts w:ascii="Times New Roman" w:hAnsi="Times New Roman" w:eastAsia="仿宋_GB2312" w:cs="Times New Roman"/>
                <w:sz w:val="24"/>
                <w:szCs w:val="24"/>
              </w:rPr>
            </w:pP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为促进研究生工作站规范有效运行，保证进站研究生的培养质量，特制订本方案。</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一、目的</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人才培养、培训。构筑研究生实践教学平台、培养研究生解决实际问题的能力，促进研究生创新能力的提高。</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二、进站研究生的管理</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(一)进站研究生的确定</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学校导师与公司课题组进行商讨，确定课题内容、经费、研究生进站时间及相关管理措施、明确进站工作内容与学位论文的关系后，由学校导师根据具体情况确定进站研究生名单。公司组织技术人员对申请进站的研究生进行考核，择优录取。</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(二) 职责</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1．公司为研究生团队提供研究设施和实践指导等条件，营造自由、宽松的学术环境，促进优秀高层次创新人才的成长。</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2.校内导师必须关注研究生在站期间的学习、工作和生活，及时处理各种情况。负责进站研究生的学位论文工作，包括学位论文选题、开题和撰写，监控学位论文进展，确保学位论文质量。</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3．公司导师作为研究生进站期间的主要负责人，应对研究生在站期间的研究课题进行指导和督促，保障课题任务的稳步推进。</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4．校内导师和公司导师之间应加强沟通交流，共同负责进站研究生的培养和课题任务的完成。</w:t>
            </w:r>
          </w:p>
          <w:p>
            <w:pPr>
              <w:keepNext w:val="0"/>
              <w:keepLines w:val="0"/>
              <w:pageBreakBefore w:val="0"/>
              <w:widowControl w:val="0"/>
              <w:kinsoku/>
              <w:wordWrap/>
              <w:overflowPunct/>
              <w:topLinePunct w:val="0"/>
              <w:autoSpaceDE/>
              <w:autoSpaceDN/>
              <w:bidi w:val="0"/>
              <w:adjustRightInd/>
              <w:snapToGrid/>
              <w:spacing w:after="0" w:line="4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5．进站研究生应自觉遵守公司和学校的规章制度，履行所签署的各项协议。因违反公司规定或协议造成不良后果的，研究生本人应承担相应责任。</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 公司将技术需求凝练为研究课题，通过工作站委托给学校委派相关导师指导下的研究生（团队）进行技术研发；或组织自身的研发团队与研究生团队合作研发。</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(三)出（离）站管理</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1．研究生在站工作时间不得超过毕业期限。</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2．进站研究生中途因特殊原因无法继续在站工作的，可以向工作站提出申请离站，移交相关材料，经同意后方可离站。</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3．研究生在站期满或完成课题研究任务后，可申请出站，填写《研究生企业工作站出站申请表》，经考核小组考核通过即可出站，进站研究生出站时，必须移交相关资料。</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4．工作站研究生出站时，由公司统一开具出站或离站通知交相关学院和导师。</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三、研究生在站期间福利</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（一）研究生进站期间，公司为其提供住宿、生活补助等，具体标准按公司相关规定执行。</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（二）公司为进站（到企业现场工作）的研究生购买意外人身伤害保险。</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四、知识产权管理</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(一)在不涉及公司技术保密的前提下，研究生可使用在站工作的材料及成果撰写学位论文。</w:t>
            </w:r>
          </w:p>
          <w:p>
            <w:pPr>
              <w:spacing w:after="0"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(二)研究生在站完成的工作所产生的知识产权归双方共同拥有，公司可无偿使用，若申报科技奖励或申报专利，根据双方各自的具体贡献确定排名顺序。</w:t>
            </w:r>
          </w:p>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8" w:hRule="atLeast"/>
          <w:jc w:val="center"/>
        </w:trPr>
        <w:tc>
          <w:tcPr>
            <w:tcW w:w="3044" w:type="dxa"/>
            <w:gridSpan w:val="4"/>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设站单位意见</w:t>
            </w:r>
          </w:p>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（盖章）</w:t>
            </w: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负责人签字</w:t>
            </w: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ind w:firstLine="480" w:firstLineChars="200"/>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年</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月</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日</w:t>
            </w:r>
          </w:p>
        </w:tc>
        <w:tc>
          <w:tcPr>
            <w:tcW w:w="2977"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高校所属院系意见</w:t>
            </w:r>
          </w:p>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（盖章）</w:t>
            </w: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负责人签字</w:t>
            </w: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ind w:firstLine="360" w:firstLineChars="150"/>
              <w:rPr>
                <w:rFonts w:ascii="Times New Roman" w:hAnsi="Times New Roman" w:eastAsia="宋体" w:cs="Times New Roman"/>
                <w:szCs w:val="21"/>
              </w:rPr>
            </w:pPr>
            <w:r>
              <w:rPr>
                <w:rFonts w:hint="eastAsia" w:ascii="Times New Roman" w:hAnsi="Times New Roman" w:eastAsia="仿宋_GB2312" w:cs="Times New Roman"/>
                <w:sz w:val="24"/>
                <w:szCs w:val="24"/>
              </w:rPr>
              <w:t>年</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月</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日</w:t>
            </w:r>
          </w:p>
        </w:tc>
        <w:tc>
          <w:tcPr>
            <w:tcW w:w="3354" w:type="dxa"/>
            <w:gridSpan w:val="4"/>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高校意见</w:t>
            </w:r>
          </w:p>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（盖章）</w:t>
            </w: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负责人签字</w:t>
            </w: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ind w:firstLine="720" w:firstLineChars="300"/>
              <w:rPr>
                <w:rFonts w:ascii="Times New Roman" w:hAnsi="Times New Roman" w:eastAsia="宋体" w:cs="Times New Roman"/>
                <w:szCs w:val="21"/>
              </w:rPr>
            </w:pPr>
            <w:r>
              <w:rPr>
                <w:rFonts w:hint="eastAsia" w:ascii="Times New Roman" w:hAnsi="Times New Roman" w:eastAsia="仿宋_GB2312" w:cs="Times New Roman"/>
                <w:sz w:val="24"/>
                <w:szCs w:val="24"/>
              </w:rPr>
              <w:t>年</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月</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日</w:t>
            </w:r>
          </w:p>
        </w:tc>
      </w:tr>
    </w:tbl>
    <w:p>
      <w:pPr>
        <w:pStyle w:val="2"/>
        <w:spacing w:line="400" w:lineRule="exact"/>
        <w:rPr>
          <w:rFonts w:eastAsia="黑体"/>
          <w:kern w:val="0"/>
          <w:sz w:val="32"/>
          <w:szCs w:val="32"/>
        </w:rPr>
      </w:pPr>
      <w:r>
        <w:rPr>
          <w:rFonts w:eastAsia="黑体"/>
          <w:kern w:val="0"/>
          <w:sz w:val="32"/>
          <w:szCs w:val="32"/>
        </w:rPr>
        <w:t xml:space="preserve"> </w:t>
      </w:r>
    </w:p>
    <w:p/>
    <w:sectPr>
      <w:pgSz w:w="11906" w:h="16838"/>
      <w:pgMar w:top="1247" w:right="1474" w:bottom="1247"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B2550D"/>
    <w:multiLevelType w:val="singleLevel"/>
    <w:tmpl w:val="8CB2550D"/>
    <w:lvl w:ilvl="0" w:tentative="0">
      <w:start w:val="1"/>
      <w:numFmt w:val="decimal"/>
      <w:lvlText w:val="%1."/>
      <w:lvlJc w:val="left"/>
      <w:pPr>
        <w:tabs>
          <w:tab w:val="left" w:pos="312"/>
        </w:tabs>
      </w:pPr>
    </w:lvl>
  </w:abstractNum>
  <w:abstractNum w:abstractNumId="1">
    <w:nsid w:val="AEC058FE"/>
    <w:multiLevelType w:val="singleLevel"/>
    <w:tmpl w:val="AEC058FE"/>
    <w:lvl w:ilvl="0" w:tentative="0">
      <w:start w:val="1"/>
      <w:numFmt w:val="decimal"/>
      <w:lvlText w:val="%1."/>
      <w:lvlJc w:val="left"/>
      <w:pPr>
        <w:tabs>
          <w:tab w:val="left" w:pos="312"/>
        </w:tabs>
      </w:pPr>
    </w:lvl>
  </w:abstractNum>
  <w:abstractNum w:abstractNumId="2">
    <w:nsid w:val="3749BAB6"/>
    <w:multiLevelType w:val="singleLevel"/>
    <w:tmpl w:val="3749BAB6"/>
    <w:lvl w:ilvl="0" w:tentative="0">
      <w:start w:val="5"/>
      <w:numFmt w:val="decimal"/>
      <w:suff w:val="nothing"/>
      <w:lvlText w:val="%1、"/>
      <w:lvlJc w:val="left"/>
    </w:lvl>
  </w:abstractNum>
  <w:abstractNum w:abstractNumId="3">
    <w:nsid w:val="54E738B2"/>
    <w:multiLevelType w:val="singleLevel"/>
    <w:tmpl w:val="54E738B2"/>
    <w:lvl w:ilvl="0" w:tentative="0">
      <w:start w:val="1"/>
      <w:numFmt w:val="decimal"/>
      <w:suff w:val="nothing"/>
      <w:lvlText w:val="（%1）"/>
      <w:lvlJc w:val="left"/>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0Yjk2ODZmOGIwOGNkZDgxZmU3MDg1NDE3ODBmMzkifQ=="/>
  </w:docVars>
  <w:rsids>
    <w:rsidRoot w:val="001B6102"/>
    <w:rsid w:val="001B6102"/>
    <w:rsid w:val="002736D9"/>
    <w:rsid w:val="0379677A"/>
    <w:rsid w:val="05B92A2B"/>
    <w:rsid w:val="061E2864"/>
    <w:rsid w:val="15881053"/>
    <w:rsid w:val="1BC85935"/>
    <w:rsid w:val="214178FD"/>
    <w:rsid w:val="237B36F5"/>
    <w:rsid w:val="2B547422"/>
    <w:rsid w:val="2C562393"/>
    <w:rsid w:val="2E637F08"/>
    <w:rsid w:val="45BA602B"/>
    <w:rsid w:val="48822425"/>
    <w:rsid w:val="4C2E79EC"/>
    <w:rsid w:val="504F5719"/>
    <w:rsid w:val="64910DD4"/>
    <w:rsid w:val="66C27AD4"/>
    <w:rsid w:val="74A302A1"/>
    <w:rsid w:val="75304872"/>
    <w:rsid w:val="7A1E525A"/>
    <w:rsid w:val="7A7C5F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rPr>
      <w:rFonts w:ascii="Times New Roman" w:hAnsi="Times New Roman" w:cs="Times New Roman"/>
      <w:sz w:val="24"/>
      <w:szCs w:val="24"/>
    </w:rPr>
  </w:style>
  <w:style w:type="character" w:styleId="5">
    <w:name w:val="Strong"/>
    <w:basedOn w:val="4"/>
    <w:qFormat/>
    <w:uiPriority w:val="22"/>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179</Words>
  <Characters>1022</Characters>
  <Lines>8</Lines>
  <Paragraphs>2</Paragraphs>
  <TotalTime>273</TotalTime>
  <ScaleCrop>false</ScaleCrop>
  <LinksUpToDate>false</LinksUpToDate>
  <CharactersWithSpaces>1199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2023-11-01T03:55:00Z</dcterms:created>
  <dc:creator>ZCC</dc:creator>
  <cp:lastModifiedBy>L</cp:lastModifiedBy>
  <dcterms:modified xsi:type="dcterms:W3CDTF">2023-11-25T02:40:21Z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38640A59E8F342D8A7768101FCAAC334_12</vt:lpwstr>
  </property>
</Properties>
</file>